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F0" w:rsidRDefault="00CA69F0" w:rsidP="00D73847">
      <w:pPr>
        <w:jc w:val="center"/>
        <w:outlineLvl w:val="0"/>
        <w:rPr>
          <w:b/>
          <w:bCs/>
        </w:rPr>
      </w:pPr>
      <w:r>
        <w:rPr>
          <w:b/>
          <w:bCs/>
        </w:rPr>
        <w:t xml:space="preserve">Merkblatt zum </w:t>
      </w:r>
      <w:r w:rsidR="007E78E6">
        <w:rPr>
          <w:b/>
          <w:bCs/>
        </w:rPr>
        <w:t>7</w:t>
      </w:r>
      <w:r>
        <w:rPr>
          <w:b/>
          <w:bCs/>
        </w:rPr>
        <w:t xml:space="preserve">. arbeitsrechtlichen </w:t>
      </w:r>
      <w:proofErr w:type="spellStart"/>
      <w:r>
        <w:rPr>
          <w:b/>
          <w:bCs/>
        </w:rPr>
        <w:t>Moot</w:t>
      </w:r>
      <w:proofErr w:type="spellEnd"/>
      <w:r>
        <w:rPr>
          <w:b/>
          <w:bCs/>
        </w:rPr>
        <w:t xml:space="preserve"> Court </w:t>
      </w:r>
    </w:p>
    <w:p w:rsidR="00CA69F0" w:rsidRDefault="000E0F90" w:rsidP="00D73847">
      <w:pPr>
        <w:jc w:val="center"/>
        <w:outlineLvl w:val="0"/>
      </w:pPr>
      <w:r>
        <w:rPr>
          <w:b/>
          <w:bCs/>
        </w:rPr>
        <w:t>beim</w:t>
      </w:r>
      <w:r w:rsidR="00CA69F0">
        <w:rPr>
          <w:b/>
          <w:bCs/>
        </w:rPr>
        <w:t xml:space="preserve"> Bundesarbeitsgericht</w:t>
      </w:r>
    </w:p>
    <w:p w:rsidR="00CA69F0" w:rsidRDefault="00CA69F0">
      <w:pPr>
        <w:jc w:val="center"/>
      </w:pPr>
    </w:p>
    <w:p w:rsidR="00CA69F0" w:rsidRDefault="00CA69F0">
      <w:pPr>
        <w:jc w:val="center"/>
      </w:pPr>
    </w:p>
    <w:p w:rsidR="00CA69F0" w:rsidRDefault="00CA69F0" w:rsidP="005A445C">
      <w:pPr>
        <w:pStyle w:val="Format2"/>
        <w:tabs>
          <w:tab w:val="clear" w:pos="851"/>
          <w:tab w:val="clear" w:pos="1418"/>
        </w:tabs>
        <w:outlineLvl w:val="0"/>
        <w:rPr>
          <w:b/>
          <w:bCs/>
        </w:rPr>
      </w:pPr>
      <w:r>
        <w:rPr>
          <w:b/>
          <w:bCs/>
        </w:rPr>
        <w:t>1.</w:t>
      </w:r>
      <w:r>
        <w:rPr>
          <w:b/>
          <w:bCs/>
        </w:rPr>
        <w:tab/>
        <w:t>Wettbewerb</w:t>
      </w:r>
    </w:p>
    <w:p w:rsidR="00CA69F0" w:rsidRDefault="00CA69F0">
      <w:pPr>
        <w:pStyle w:val="Format21"/>
        <w:ind w:left="709" w:firstLine="0"/>
      </w:pPr>
      <w:r>
        <w:t>Es findet ein Wettbewerb statt, mit dem im Rahmen einer simulierten Gerichtsve</w:t>
      </w:r>
      <w:r>
        <w:t>r</w:t>
      </w:r>
      <w:r>
        <w:t>handlung die beste Bearbeitung eines arbeitsrechtlichen Falles ermittelt wird. Ma</w:t>
      </w:r>
      <w:r>
        <w:t>ß</w:t>
      </w:r>
      <w:r>
        <w:t xml:space="preserve">geblich </w:t>
      </w:r>
      <w:r w:rsidR="0089254D">
        <w:t xml:space="preserve">sind </w:t>
      </w:r>
      <w:r>
        <w:t>die Vollständigkeit und die juristische Stringenz der Argumentation, in der “Verhandlung” auch die Überzeugungskraft des Auftretens und die Reaktion auf Fragen seitens des Gerichts.</w:t>
      </w:r>
    </w:p>
    <w:p w:rsidR="00CA69F0" w:rsidRDefault="00CA69F0" w:rsidP="005A445C">
      <w:pPr>
        <w:pStyle w:val="Format2"/>
        <w:tabs>
          <w:tab w:val="clear" w:pos="851"/>
          <w:tab w:val="clear" w:pos="1418"/>
        </w:tabs>
        <w:outlineLvl w:val="0"/>
        <w:rPr>
          <w:b/>
          <w:bCs/>
        </w:rPr>
      </w:pPr>
      <w:r>
        <w:rPr>
          <w:b/>
          <w:bCs/>
        </w:rPr>
        <w:t>2.</w:t>
      </w:r>
      <w:r>
        <w:rPr>
          <w:b/>
          <w:bCs/>
        </w:rPr>
        <w:tab/>
        <w:t>Veranstalter</w:t>
      </w:r>
    </w:p>
    <w:p w:rsidR="00CA69F0" w:rsidRDefault="00CA69F0">
      <w:pPr>
        <w:pStyle w:val="Format21"/>
        <w:ind w:left="709" w:firstLine="0"/>
      </w:pPr>
      <w:r>
        <w:t xml:space="preserve">Veranstalter ist das Bundesarbeitsgericht. </w:t>
      </w:r>
    </w:p>
    <w:p w:rsidR="00CA69F0" w:rsidRDefault="00CA69F0" w:rsidP="005A445C">
      <w:pPr>
        <w:pStyle w:val="Format2"/>
        <w:tabs>
          <w:tab w:val="clear" w:pos="851"/>
          <w:tab w:val="clear" w:pos="1418"/>
        </w:tabs>
        <w:outlineLvl w:val="0"/>
        <w:rPr>
          <w:b/>
          <w:bCs/>
        </w:rPr>
      </w:pPr>
      <w:r>
        <w:rPr>
          <w:b/>
          <w:bCs/>
        </w:rPr>
        <w:t>3.</w:t>
      </w:r>
      <w:r>
        <w:rPr>
          <w:b/>
          <w:bCs/>
        </w:rPr>
        <w:tab/>
        <w:t>Teams</w:t>
      </w:r>
    </w:p>
    <w:p w:rsidR="00741870" w:rsidRDefault="00CA69F0">
      <w:pPr>
        <w:pStyle w:val="Format21"/>
        <w:ind w:left="709" w:firstLine="0"/>
      </w:pPr>
      <w:r>
        <w:t xml:space="preserve">Teilnahmeberechtigt sind Studierende der Rechtswissenschaft </w:t>
      </w:r>
      <w:r w:rsidR="00255F6F">
        <w:t xml:space="preserve">in Studiengängen, die auf Ablegung der Ersten Juristischen Staatsprüfung zielen, </w:t>
      </w:r>
      <w:r>
        <w:t>ab dem vierten S</w:t>
      </w:r>
      <w:r>
        <w:t>e</w:t>
      </w:r>
      <w:r>
        <w:t xml:space="preserve">mester (Zeitpunkt der Anmeldung). </w:t>
      </w:r>
    </w:p>
    <w:p w:rsidR="00741870" w:rsidRDefault="00CA69F0">
      <w:pPr>
        <w:pStyle w:val="Format21"/>
        <w:ind w:left="709" w:firstLine="0"/>
      </w:pPr>
      <w:r>
        <w:t>Stud</w:t>
      </w:r>
      <w:r w:rsidR="00A542F9">
        <w:t>ierende</w:t>
      </w:r>
      <w:r>
        <w:t xml:space="preserve">, </w:t>
      </w:r>
      <w:r w:rsidR="00A542F9">
        <w:t xml:space="preserve">die am Tag des Anmeldeschlusses bereits die Leistungen für die Erste Juristische Staatsprüfung abgelegt haben, </w:t>
      </w:r>
      <w:r>
        <w:t xml:space="preserve">können nicht mehr teilnehmen. </w:t>
      </w:r>
    </w:p>
    <w:p w:rsidR="00741870" w:rsidRDefault="00CA69F0">
      <w:pPr>
        <w:pStyle w:val="Format21"/>
        <w:ind w:left="709" w:firstLine="0"/>
      </w:pPr>
      <w:r>
        <w:t xml:space="preserve">Es können sich jeweils zwei bis drei Personen zu einem Team zusammenschließen. Voraussetzung </w:t>
      </w:r>
      <w:r w:rsidR="00741870">
        <w:t>für die</w:t>
      </w:r>
      <w:r>
        <w:t xml:space="preserve"> Teilnahme ist die Betreuung über Lehrstühle des Arbeits-, Wirtschafts- oder Zivilrechts; Mehrfachbetreuung ist zulässig.</w:t>
      </w:r>
      <w:r w:rsidR="00A1376C">
        <w:t xml:space="preserve"> </w:t>
      </w:r>
    </w:p>
    <w:p w:rsidR="00A1376C" w:rsidRPr="00D2350D" w:rsidRDefault="00A1376C">
      <w:pPr>
        <w:pStyle w:val="Format21"/>
        <w:ind w:left="709" w:firstLine="0"/>
      </w:pPr>
      <w:r w:rsidRPr="00D2350D">
        <w:t>Aus organisatorischen Gründen ist höchstens die Teilnahme von 32 Teams zulä</w:t>
      </w:r>
      <w:r w:rsidRPr="00D2350D">
        <w:t>s</w:t>
      </w:r>
      <w:r w:rsidRPr="00D2350D">
        <w:t>sig. Sollten mehr Anmeldungen eingehen, wird die Universität/werden die Univers</w:t>
      </w:r>
      <w:r w:rsidRPr="00D2350D">
        <w:t>i</w:t>
      </w:r>
      <w:r w:rsidRPr="00D2350D">
        <w:t>täten mit den meist</w:t>
      </w:r>
      <w:r w:rsidR="00E57E73" w:rsidRPr="00D2350D">
        <w:t>en</w:t>
      </w:r>
      <w:r w:rsidRPr="00D2350D">
        <w:t xml:space="preserve"> gemeldeten Teams aufgefordert, Meldungen zurückzuziehen.</w:t>
      </w:r>
      <w:r w:rsidR="00D2350D">
        <w:t xml:space="preserve"> </w:t>
      </w:r>
      <w:r w:rsidR="00A542F9">
        <w:t xml:space="preserve">Reicht dies nicht aus, werden auch die Universitäten mit der nachfolgend hohen Zahl von Meldungen entsprechend aufgefordert. </w:t>
      </w:r>
      <w:r w:rsidRPr="00D2350D">
        <w:t>Bei gleicher Zahl von Meldungen entscheidet das Los. Ein Anspruch auf Teilnahme besteht nicht.</w:t>
      </w:r>
      <w:r w:rsidR="00D2350D">
        <w:t xml:space="preserve"> Pro Universität können höchstens </w:t>
      </w:r>
      <w:r w:rsidR="0089254D">
        <w:t>vier</w:t>
      </w:r>
      <w:r w:rsidR="00D2350D">
        <w:t xml:space="preserve"> Teams gemeldet werden.</w:t>
      </w:r>
    </w:p>
    <w:p w:rsidR="00A1376C" w:rsidRDefault="00A1376C">
      <w:pPr>
        <w:pStyle w:val="Format21"/>
        <w:ind w:left="709" w:firstLine="0"/>
      </w:pPr>
      <w:r w:rsidRPr="00D2350D">
        <w:t>Die Nachnominierung von Teammitgliedern beim Ausfall von Mitgliedern ist zu</w:t>
      </w:r>
      <w:r w:rsidR="00E57E73" w:rsidRPr="00D2350D">
        <w:t>lä</w:t>
      </w:r>
      <w:r w:rsidR="00E57E73" w:rsidRPr="00D2350D">
        <w:t>s</w:t>
      </w:r>
      <w:r w:rsidR="00E57E73" w:rsidRPr="00D2350D">
        <w:t>sig. Der An</w:t>
      </w:r>
      <w:r w:rsidRPr="00D2350D">
        <w:t>tritt des Teams ist aber auch bei Ausfall eines Mitglieds möglich, sof</w:t>
      </w:r>
      <w:r w:rsidR="00E57E73" w:rsidRPr="00D2350D">
        <w:t>ern die Mindestanzahl nicht unter</w:t>
      </w:r>
      <w:r w:rsidRPr="00D2350D">
        <w:t>schritten wird.</w:t>
      </w:r>
    </w:p>
    <w:p w:rsidR="00D2350D" w:rsidRDefault="00D2350D">
      <w:pPr>
        <w:pStyle w:val="Format21"/>
        <w:ind w:left="709" w:firstLine="0"/>
      </w:pPr>
    </w:p>
    <w:p w:rsidR="00CA69F0" w:rsidRDefault="00CA69F0" w:rsidP="005A445C">
      <w:pPr>
        <w:pStyle w:val="Format2"/>
        <w:tabs>
          <w:tab w:val="clear" w:pos="851"/>
          <w:tab w:val="clear" w:pos="1418"/>
        </w:tabs>
        <w:outlineLvl w:val="0"/>
        <w:rPr>
          <w:b/>
          <w:bCs/>
        </w:rPr>
      </w:pPr>
      <w:r>
        <w:rPr>
          <w:b/>
          <w:bCs/>
        </w:rPr>
        <w:lastRenderedPageBreak/>
        <w:t>4.</w:t>
      </w:r>
      <w:r>
        <w:rPr>
          <w:b/>
          <w:bCs/>
        </w:rPr>
        <w:tab/>
        <w:t>Aufgabenstellung</w:t>
      </w:r>
    </w:p>
    <w:p w:rsidR="00CA69F0" w:rsidRDefault="00CA69F0">
      <w:pPr>
        <w:pStyle w:val="Format21"/>
        <w:ind w:left="709" w:firstLine="0"/>
      </w:pPr>
      <w:r>
        <w:t>Es wird ein arbeitsrechtlicher Fall gestellt, der einen unstreitigen Sachverhalt en</w:t>
      </w:r>
      <w:r>
        <w:t>t</w:t>
      </w:r>
      <w:r>
        <w:t xml:space="preserve">hält. Er wird vom Veranstalter </w:t>
      </w:r>
      <w:r w:rsidRPr="00D2350D">
        <w:t>entwickelt</w:t>
      </w:r>
      <w:r>
        <w:t xml:space="preserve"> und zeitgleich</w:t>
      </w:r>
      <w:r w:rsidR="00E57E73">
        <w:t xml:space="preserve"> </w:t>
      </w:r>
      <w:r w:rsidR="00E57E73" w:rsidRPr="00D2350D">
        <w:t>am</w:t>
      </w:r>
      <w:r w:rsidR="00D2350D">
        <w:t xml:space="preserve"> </w:t>
      </w:r>
      <w:r w:rsidR="00943DF3" w:rsidRPr="00943DF3">
        <w:rPr>
          <w:b/>
        </w:rPr>
        <w:t xml:space="preserve">Montag, </w:t>
      </w:r>
      <w:r w:rsidR="007E78E6">
        <w:rPr>
          <w:b/>
        </w:rPr>
        <w:t>10</w:t>
      </w:r>
      <w:r w:rsidR="00943DF3" w:rsidRPr="00943DF3">
        <w:rPr>
          <w:b/>
        </w:rPr>
        <w:t>.</w:t>
      </w:r>
      <w:r w:rsidR="00625494">
        <w:rPr>
          <w:b/>
        </w:rPr>
        <w:t xml:space="preserve"> Juli</w:t>
      </w:r>
      <w:r w:rsidR="009D7BD5">
        <w:rPr>
          <w:b/>
        </w:rPr>
        <w:t xml:space="preserve"> </w:t>
      </w:r>
      <w:r w:rsidR="00943DF3" w:rsidRPr="00943DF3">
        <w:rPr>
          <w:b/>
        </w:rPr>
        <w:t>201</w:t>
      </w:r>
      <w:r w:rsidR="007E78E6">
        <w:rPr>
          <w:b/>
        </w:rPr>
        <w:t>7</w:t>
      </w:r>
      <w:r w:rsidR="00811E55">
        <w:rPr>
          <w:b/>
        </w:rPr>
        <w:t xml:space="preserve"> </w:t>
      </w:r>
      <w:r w:rsidR="00C70E7A">
        <w:t>per E</w:t>
      </w:r>
      <w:r>
        <w:t>-Mail an alle teilnehmenden Teams gesandt.</w:t>
      </w:r>
    </w:p>
    <w:p w:rsidR="00CA69F0" w:rsidRDefault="00CA69F0" w:rsidP="005A445C">
      <w:pPr>
        <w:pStyle w:val="Format2"/>
        <w:tabs>
          <w:tab w:val="clear" w:pos="851"/>
          <w:tab w:val="clear" w:pos="1418"/>
        </w:tabs>
        <w:outlineLvl w:val="0"/>
        <w:rPr>
          <w:b/>
          <w:bCs/>
        </w:rPr>
      </w:pPr>
      <w:r>
        <w:rPr>
          <w:b/>
          <w:bCs/>
        </w:rPr>
        <w:t>5.</w:t>
      </w:r>
      <w:r>
        <w:rPr>
          <w:b/>
          <w:bCs/>
        </w:rPr>
        <w:tab/>
        <w:t>Ausscheidungsmodus</w:t>
      </w:r>
    </w:p>
    <w:p w:rsidR="00CA69F0" w:rsidRDefault="00CA69F0" w:rsidP="005A445C">
      <w:pPr>
        <w:pStyle w:val="Format2"/>
        <w:tabs>
          <w:tab w:val="clear" w:pos="851"/>
          <w:tab w:val="clear" w:pos="1418"/>
        </w:tabs>
        <w:outlineLvl w:val="0"/>
        <w:rPr>
          <w:b/>
          <w:bCs/>
        </w:rPr>
      </w:pPr>
      <w:r>
        <w:rPr>
          <w:b/>
          <w:bCs/>
        </w:rPr>
        <w:t>a)</w:t>
      </w:r>
      <w:r>
        <w:rPr>
          <w:b/>
          <w:bCs/>
        </w:rPr>
        <w:tab/>
        <w:t>Eröffnungsrunde</w:t>
      </w:r>
    </w:p>
    <w:p w:rsidR="00C70E7A" w:rsidRDefault="00CA69F0">
      <w:pPr>
        <w:pStyle w:val="Format21"/>
        <w:ind w:left="709" w:firstLine="0"/>
      </w:pPr>
      <w:r>
        <w:t>In der Eröffnungsrunde vertritt jeweils ein Team den Kläger und ein anderes den Beklagten. Welches Team welche Rolle übernimmt</w:t>
      </w:r>
      <w:r w:rsidR="00D2350D">
        <w:t xml:space="preserve"> und welcher Kammer es zug</w:t>
      </w:r>
      <w:r w:rsidR="00D2350D">
        <w:t>e</w:t>
      </w:r>
      <w:r w:rsidR="00D2350D">
        <w:t>wiesen wird</w:t>
      </w:r>
      <w:r>
        <w:t>, wird durch Losentscheid ermittelt</w:t>
      </w:r>
      <w:r w:rsidR="00C70E7A">
        <w:t xml:space="preserve">. Welche Rolle ein Team übernimmt, wird </w:t>
      </w:r>
      <w:r w:rsidR="006D1467">
        <w:t>spätestens mit der Zusendung der Aufgabe</w:t>
      </w:r>
      <w:r w:rsidR="00C70E7A">
        <w:t xml:space="preserve"> mitgeteilt.</w:t>
      </w:r>
    </w:p>
    <w:p w:rsidR="0013004C" w:rsidRDefault="0013004C" w:rsidP="005A445C">
      <w:pPr>
        <w:adjustRightInd w:val="0"/>
        <w:spacing w:line="360" w:lineRule="auto"/>
        <w:ind w:left="709"/>
        <w:jc w:val="both"/>
      </w:pPr>
      <w:r w:rsidRPr="0013004C">
        <w:rPr>
          <w:rFonts w:ascii="Arial" w:hAnsi="Arial" w:cs="Arial"/>
        </w:rPr>
        <w:t>Soweit erforderlich</w:t>
      </w:r>
      <w:r w:rsidR="0089254D">
        <w:rPr>
          <w:rFonts w:ascii="Arial" w:hAnsi="Arial" w:cs="Arial"/>
        </w:rPr>
        <w:t>,</w:t>
      </w:r>
      <w:r w:rsidRPr="0013004C">
        <w:rPr>
          <w:rFonts w:ascii="Arial" w:hAnsi="Arial" w:cs="Arial"/>
        </w:rPr>
        <w:t xml:space="preserve"> wird vo</w:t>
      </w:r>
      <w:r w:rsidR="00BB52DA">
        <w:rPr>
          <w:rFonts w:ascii="Arial" w:hAnsi="Arial" w:cs="Arial"/>
        </w:rPr>
        <w:t>m</w:t>
      </w:r>
      <w:r w:rsidRPr="0013004C">
        <w:rPr>
          <w:rFonts w:ascii="Arial" w:hAnsi="Arial" w:cs="Arial"/>
        </w:rPr>
        <w:t xml:space="preserve"> Veranstalter ein gegnerisches Team für die mündliche Verhandlung gestellt.</w:t>
      </w:r>
      <w:r>
        <w:rPr>
          <w:rFonts w:ascii="Arial" w:hAnsi="Arial" w:cs="Arial"/>
        </w:rPr>
        <w:t xml:space="preserve"> </w:t>
      </w:r>
      <w:r w:rsidRPr="0013004C">
        <w:rPr>
          <w:rFonts w:ascii="Arial" w:hAnsi="Arial" w:cs="Arial"/>
        </w:rPr>
        <w:t>Die Teams bereiten das Verfahren durch kurze Schriftsätze vor. Schriftsätze dürfen nicht mehr als fünf Seiten (Schriftgröße 12 mit 1 1/2-zeiligem Abstand</w:t>
      </w:r>
      <w:r w:rsidR="00A542F9">
        <w:rPr>
          <w:rFonts w:ascii="Arial" w:hAnsi="Arial" w:cs="Arial"/>
        </w:rPr>
        <w:t xml:space="preserve"> und einem Rand von 2,5 cm</w:t>
      </w:r>
      <w:r w:rsidRPr="0013004C">
        <w:rPr>
          <w:rFonts w:ascii="Arial" w:hAnsi="Arial" w:cs="Arial"/>
        </w:rPr>
        <w:t>) lang sein. Sie werden nicht mit Kopfbogen, Kanzleiadresse oder ähnlichem versehen.</w:t>
      </w:r>
      <w:r w:rsidR="00A542F9">
        <w:rPr>
          <w:rFonts w:ascii="Arial" w:hAnsi="Arial" w:cs="Arial"/>
        </w:rPr>
        <w:t xml:space="preserve"> Eine nochmalige Da</w:t>
      </w:r>
      <w:r w:rsidR="00BB52DA">
        <w:rPr>
          <w:rFonts w:ascii="Arial" w:hAnsi="Arial" w:cs="Arial"/>
        </w:rPr>
        <w:t>r</w:t>
      </w:r>
      <w:r w:rsidR="00A542F9">
        <w:rPr>
          <w:rFonts w:ascii="Arial" w:hAnsi="Arial" w:cs="Arial"/>
        </w:rPr>
        <w:t>stellung des Sachverhalts und</w:t>
      </w:r>
      <w:r w:rsidRPr="0013004C">
        <w:rPr>
          <w:rFonts w:ascii="Arial" w:hAnsi="Arial" w:cs="Arial"/>
        </w:rPr>
        <w:t xml:space="preserve"> </w:t>
      </w:r>
      <w:r w:rsidR="00A542F9">
        <w:rPr>
          <w:rFonts w:ascii="Arial" w:hAnsi="Arial" w:cs="Arial"/>
        </w:rPr>
        <w:t>e</w:t>
      </w:r>
      <w:r w:rsidRPr="0013004C">
        <w:rPr>
          <w:rFonts w:ascii="Arial" w:hAnsi="Arial" w:cs="Arial"/>
        </w:rPr>
        <w:t>ine Wiederholung der Antragstellung erfolgt nicht.</w:t>
      </w:r>
      <w:r>
        <w:rPr>
          <w:rFonts w:ascii="Arial" w:hAnsi="Arial" w:cs="Arial"/>
        </w:rPr>
        <w:t xml:space="preserve"> </w:t>
      </w:r>
      <w:r w:rsidR="008C3B9D">
        <w:rPr>
          <w:rFonts w:ascii="Arial" w:hAnsi="Arial" w:cs="Arial"/>
        </w:rPr>
        <w:t xml:space="preserve">Ebenso wenig ist die Anschrift des Gerichts </w:t>
      </w:r>
      <w:r w:rsidR="00A542F9">
        <w:rPr>
          <w:rFonts w:ascii="Arial" w:hAnsi="Arial" w:cs="Arial"/>
        </w:rPr>
        <w:t>anzugeben</w:t>
      </w:r>
      <w:r w:rsidR="008C3B9D">
        <w:rPr>
          <w:rFonts w:ascii="Arial" w:hAnsi="Arial" w:cs="Arial"/>
        </w:rPr>
        <w:t xml:space="preserve"> oder eine Anredeformel zu gebra</w:t>
      </w:r>
      <w:r w:rsidR="008C3B9D">
        <w:rPr>
          <w:rFonts w:ascii="Arial" w:hAnsi="Arial" w:cs="Arial"/>
        </w:rPr>
        <w:t>u</w:t>
      </w:r>
      <w:r w:rsidR="008C3B9D">
        <w:rPr>
          <w:rFonts w:ascii="Arial" w:hAnsi="Arial" w:cs="Arial"/>
        </w:rPr>
        <w:t xml:space="preserve">chen. Jedoch muss ersichtlich sein, von welchem Team der Schriftsatz stammt. </w:t>
      </w:r>
      <w:r w:rsidRPr="0013004C">
        <w:rPr>
          <w:rFonts w:ascii="Arial" w:hAnsi="Arial" w:cs="Arial"/>
        </w:rPr>
        <w:t>G</w:t>
      </w:r>
      <w:r w:rsidRPr="0013004C">
        <w:rPr>
          <w:rFonts w:ascii="Arial" w:hAnsi="Arial" w:cs="Arial"/>
        </w:rPr>
        <w:t>e</w:t>
      </w:r>
      <w:r w:rsidRPr="0013004C">
        <w:rPr>
          <w:rFonts w:ascii="Arial" w:hAnsi="Arial" w:cs="Arial"/>
        </w:rPr>
        <w:t>staltungserklärungen und Antragsänderungen sind nicht z</w:t>
      </w:r>
      <w:r w:rsidR="002F334B">
        <w:rPr>
          <w:rFonts w:ascii="Arial" w:hAnsi="Arial" w:cs="Arial"/>
        </w:rPr>
        <w:t>u</w:t>
      </w:r>
      <w:r w:rsidRPr="0013004C">
        <w:rPr>
          <w:rFonts w:ascii="Arial" w:hAnsi="Arial" w:cs="Arial"/>
        </w:rPr>
        <w:t>lässig.</w:t>
      </w:r>
      <w:r>
        <w:rPr>
          <w:rFonts w:ascii="Arial" w:hAnsi="Arial" w:cs="Arial"/>
        </w:rPr>
        <w:t xml:space="preserve"> </w:t>
      </w:r>
      <w:r w:rsidRPr="0013004C">
        <w:rPr>
          <w:rFonts w:ascii="Arial" w:hAnsi="Arial" w:cs="Arial"/>
        </w:rPr>
        <w:t>D</w:t>
      </w:r>
      <w:r w:rsidR="00741870">
        <w:rPr>
          <w:rFonts w:ascii="Arial" w:hAnsi="Arial" w:cs="Arial"/>
        </w:rPr>
        <w:t xml:space="preserve">ie Schriftsätze müssen bis zum </w:t>
      </w:r>
      <w:r w:rsidR="00943DF3">
        <w:rPr>
          <w:rFonts w:ascii="Arial" w:hAnsi="Arial" w:cs="Arial"/>
        </w:rPr>
        <w:t xml:space="preserve">Freitag, dem </w:t>
      </w:r>
      <w:r w:rsidR="007E78E6">
        <w:rPr>
          <w:rFonts w:ascii="Arial" w:hAnsi="Arial" w:cs="Arial"/>
          <w:b/>
        </w:rPr>
        <w:t>8</w:t>
      </w:r>
      <w:r w:rsidRPr="00C70E7A">
        <w:rPr>
          <w:rFonts w:ascii="Arial" w:hAnsi="Arial" w:cs="Arial"/>
          <w:b/>
        </w:rPr>
        <w:t xml:space="preserve">. Dezember </w:t>
      </w:r>
      <w:r w:rsidR="00943DF3">
        <w:rPr>
          <w:rFonts w:ascii="Arial" w:hAnsi="Arial" w:cs="Arial"/>
          <w:b/>
        </w:rPr>
        <w:t>201</w:t>
      </w:r>
      <w:r w:rsidR="007E78E6">
        <w:rPr>
          <w:rFonts w:ascii="Arial" w:hAnsi="Arial" w:cs="Arial"/>
          <w:b/>
        </w:rPr>
        <w:t>7</w:t>
      </w:r>
      <w:r w:rsidR="00C70E7A">
        <w:rPr>
          <w:rFonts w:ascii="Arial" w:hAnsi="Arial" w:cs="Arial"/>
          <w:b/>
        </w:rPr>
        <w:t xml:space="preserve"> </w:t>
      </w:r>
      <w:r w:rsidRPr="00C70E7A">
        <w:rPr>
          <w:rFonts w:ascii="Arial" w:hAnsi="Arial" w:cs="Arial"/>
          <w:b/>
        </w:rPr>
        <w:t>per E-Mail</w:t>
      </w:r>
      <w:r w:rsidRPr="0013004C">
        <w:rPr>
          <w:rFonts w:ascii="Arial" w:hAnsi="Arial" w:cs="Arial"/>
        </w:rPr>
        <w:t xml:space="preserve"> beim Bundesarbeit</w:t>
      </w:r>
      <w:r w:rsidRPr="0013004C">
        <w:rPr>
          <w:rFonts w:ascii="Arial" w:hAnsi="Arial" w:cs="Arial"/>
        </w:rPr>
        <w:t>s</w:t>
      </w:r>
      <w:r w:rsidRPr="0013004C">
        <w:rPr>
          <w:rFonts w:ascii="Arial" w:hAnsi="Arial" w:cs="Arial"/>
        </w:rPr>
        <w:t xml:space="preserve">gericht eingehen und werden am nächsten </w:t>
      </w:r>
      <w:r w:rsidR="00F63D77">
        <w:rPr>
          <w:rFonts w:ascii="Arial" w:hAnsi="Arial" w:cs="Arial"/>
        </w:rPr>
        <w:t>Mont</w:t>
      </w:r>
      <w:r w:rsidRPr="0013004C">
        <w:rPr>
          <w:rFonts w:ascii="Arial" w:hAnsi="Arial" w:cs="Arial"/>
        </w:rPr>
        <w:t xml:space="preserve">ag an das </w:t>
      </w:r>
      <w:r w:rsidR="005A445C">
        <w:rPr>
          <w:rFonts w:ascii="Arial" w:hAnsi="Arial" w:cs="Arial"/>
        </w:rPr>
        <w:t>g</w:t>
      </w:r>
      <w:r w:rsidRPr="0013004C">
        <w:t xml:space="preserve">egnerische </w:t>
      </w:r>
      <w:r>
        <w:t>T</w:t>
      </w:r>
      <w:r w:rsidRPr="0013004C">
        <w:t>eam zur weiteren Vorbereitung weitergeleitet.</w:t>
      </w:r>
    </w:p>
    <w:p w:rsidR="00752FF6" w:rsidRDefault="00752FF6" w:rsidP="00C70E7A">
      <w:pPr>
        <w:adjustRightInd w:val="0"/>
        <w:spacing w:line="360" w:lineRule="auto"/>
        <w:ind w:left="709"/>
        <w:rPr>
          <w:rFonts w:ascii="Arial" w:hAnsi="Arial" w:cs="Arial"/>
        </w:rPr>
      </w:pPr>
    </w:p>
    <w:p w:rsidR="00C70E7A" w:rsidRDefault="00741870" w:rsidP="0089254D">
      <w:pPr>
        <w:adjustRightInd w:val="0"/>
        <w:spacing w:line="360" w:lineRule="auto"/>
        <w:ind w:left="709"/>
        <w:jc w:val="both"/>
        <w:rPr>
          <w:rFonts w:ascii="Arial" w:hAnsi="Arial" w:cs="Arial"/>
        </w:rPr>
      </w:pPr>
      <w:r>
        <w:rPr>
          <w:rFonts w:ascii="Arial" w:hAnsi="Arial" w:cs="Arial"/>
        </w:rPr>
        <w:t xml:space="preserve">Am </w:t>
      </w:r>
      <w:r w:rsidR="007E78E6">
        <w:rPr>
          <w:rFonts w:ascii="Arial" w:hAnsi="Arial" w:cs="Arial"/>
          <w:b/>
        </w:rPr>
        <w:t>18</w:t>
      </w:r>
      <w:r w:rsidR="0013609F" w:rsidRPr="0013609F">
        <w:rPr>
          <w:rFonts w:ascii="Arial" w:hAnsi="Arial" w:cs="Arial"/>
          <w:b/>
        </w:rPr>
        <w:t>.</w:t>
      </w:r>
      <w:r w:rsidR="0045463C" w:rsidRPr="0013609F">
        <w:rPr>
          <w:rFonts w:ascii="Arial" w:hAnsi="Arial" w:cs="Arial"/>
          <w:b/>
        </w:rPr>
        <w:t xml:space="preserve"> Januar 201</w:t>
      </w:r>
      <w:r w:rsidR="007E78E6">
        <w:rPr>
          <w:rFonts w:ascii="Arial" w:hAnsi="Arial" w:cs="Arial"/>
          <w:b/>
        </w:rPr>
        <w:t>8</w:t>
      </w:r>
      <w:r w:rsidR="008C3B9D">
        <w:rPr>
          <w:rFonts w:ascii="Arial" w:hAnsi="Arial" w:cs="Arial"/>
        </w:rPr>
        <w:t xml:space="preserve"> </w:t>
      </w:r>
      <w:r w:rsidR="0013004C" w:rsidRPr="0013004C">
        <w:rPr>
          <w:rFonts w:ascii="Arial" w:hAnsi="Arial" w:cs="Arial"/>
        </w:rPr>
        <w:t xml:space="preserve">findet die “Verhandlung” vor den Kammern </w:t>
      </w:r>
      <w:r w:rsidR="00E27CCD">
        <w:rPr>
          <w:rFonts w:ascii="Arial" w:hAnsi="Arial" w:cs="Arial"/>
        </w:rPr>
        <w:t>in den Räumlic</w:t>
      </w:r>
      <w:r w:rsidR="00E27CCD">
        <w:rPr>
          <w:rFonts w:ascii="Arial" w:hAnsi="Arial" w:cs="Arial"/>
        </w:rPr>
        <w:t>h</w:t>
      </w:r>
      <w:r w:rsidR="00E27CCD">
        <w:rPr>
          <w:rFonts w:ascii="Arial" w:hAnsi="Arial" w:cs="Arial"/>
        </w:rPr>
        <w:t xml:space="preserve">keiten des Bundesarbeitsgerichts in Erfurt </w:t>
      </w:r>
      <w:r w:rsidR="0013004C" w:rsidRPr="0013004C">
        <w:rPr>
          <w:rFonts w:ascii="Arial" w:hAnsi="Arial" w:cs="Arial"/>
        </w:rPr>
        <w:t xml:space="preserve">statt. </w:t>
      </w:r>
    </w:p>
    <w:p w:rsidR="00C70E7A" w:rsidRDefault="0013004C" w:rsidP="0089254D">
      <w:pPr>
        <w:adjustRightInd w:val="0"/>
        <w:spacing w:line="360" w:lineRule="auto"/>
        <w:ind w:left="709"/>
        <w:jc w:val="both"/>
        <w:rPr>
          <w:rFonts w:ascii="Arial" w:hAnsi="Arial" w:cs="Arial"/>
        </w:rPr>
      </w:pPr>
      <w:r w:rsidRPr="0013004C">
        <w:rPr>
          <w:rFonts w:ascii="Arial" w:hAnsi="Arial" w:cs="Arial"/>
        </w:rPr>
        <w:t>Für die</w:t>
      </w:r>
      <w:r w:rsidR="00C70E7A">
        <w:rPr>
          <w:rFonts w:ascii="Arial" w:hAnsi="Arial" w:cs="Arial"/>
        </w:rPr>
        <w:t xml:space="preserve"> </w:t>
      </w:r>
      <w:r w:rsidRPr="0013004C">
        <w:rPr>
          <w:rFonts w:ascii="Arial" w:hAnsi="Arial" w:cs="Arial"/>
        </w:rPr>
        <w:t>Eröffnungsrunde werden vier Kammern gebildet, vor denen die Teams pl</w:t>
      </w:r>
      <w:r w:rsidRPr="0013004C">
        <w:rPr>
          <w:rFonts w:ascii="Arial" w:hAnsi="Arial" w:cs="Arial"/>
        </w:rPr>
        <w:t>ä</w:t>
      </w:r>
      <w:r w:rsidRPr="0013004C">
        <w:rPr>
          <w:rFonts w:ascii="Arial" w:hAnsi="Arial" w:cs="Arial"/>
        </w:rPr>
        <w:t>dieren.</w:t>
      </w:r>
      <w:r>
        <w:rPr>
          <w:rFonts w:ascii="Arial" w:hAnsi="Arial" w:cs="Arial"/>
        </w:rPr>
        <w:t xml:space="preserve"> </w:t>
      </w:r>
    </w:p>
    <w:p w:rsidR="0013004C" w:rsidRPr="0013004C" w:rsidRDefault="0013004C" w:rsidP="005A445C">
      <w:pPr>
        <w:adjustRightInd w:val="0"/>
        <w:spacing w:line="360" w:lineRule="auto"/>
        <w:ind w:left="709"/>
        <w:jc w:val="both"/>
        <w:rPr>
          <w:rFonts w:ascii="Arial" w:hAnsi="Arial" w:cs="Arial"/>
        </w:rPr>
      </w:pPr>
      <w:r w:rsidRPr="0013004C">
        <w:rPr>
          <w:rFonts w:ascii="Arial" w:hAnsi="Arial" w:cs="Arial"/>
        </w:rPr>
        <w:t xml:space="preserve">Zunächst kann die klagende Seite </w:t>
      </w:r>
      <w:r w:rsidR="005A445C">
        <w:rPr>
          <w:rFonts w:ascii="Arial" w:hAnsi="Arial" w:cs="Arial"/>
        </w:rPr>
        <w:t>zehn</w:t>
      </w:r>
      <w:r w:rsidRPr="0013004C">
        <w:rPr>
          <w:rFonts w:ascii="Arial" w:hAnsi="Arial" w:cs="Arial"/>
        </w:rPr>
        <w:t xml:space="preserve"> Minuten sprechen, dann die beklagte Seite </w:t>
      </w:r>
      <w:r w:rsidR="005A445C">
        <w:rPr>
          <w:rFonts w:ascii="Arial" w:hAnsi="Arial" w:cs="Arial"/>
        </w:rPr>
        <w:t>zehn</w:t>
      </w:r>
      <w:r w:rsidRPr="0013004C">
        <w:rPr>
          <w:rFonts w:ascii="Arial" w:hAnsi="Arial" w:cs="Arial"/>
        </w:rPr>
        <w:t xml:space="preserve"> Minuten erwidern. In dieser Zeit finden grundsätzlich keine Unterbrechungen durch die Kammer statt. Bei kündigungsrechtlichen Fällen kann die Reihenfolge umgekehrt sein. Dies wird mit der Vergabe des Falles mitgeteilt.</w:t>
      </w:r>
    </w:p>
    <w:p w:rsidR="0013004C" w:rsidRDefault="00F63D77">
      <w:pPr>
        <w:pStyle w:val="Format21"/>
        <w:ind w:left="709" w:firstLine="0"/>
      </w:pPr>
      <w:r>
        <w:br w:type="page"/>
      </w:r>
    </w:p>
    <w:p w:rsidR="005A0F0A" w:rsidRDefault="00CA69F0">
      <w:pPr>
        <w:pStyle w:val="Format21"/>
        <w:ind w:left="709" w:firstLine="0"/>
      </w:pPr>
      <w:r>
        <w:lastRenderedPageBreak/>
        <w:t>Abschließend hat jede Seite weitere fünf Minuten Zeit zur Erwiderung. Es beginnt die Seite, die vorher als erste plädiert hat. Jedes Mitglied des Teams muss spr</w:t>
      </w:r>
      <w:r>
        <w:t>e</w:t>
      </w:r>
      <w:r>
        <w:t>chen. Die Aufteilung ist den Teams vorbehalten</w:t>
      </w:r>
      <w:r w:rsidR="008C3B9D">
        <w:t>, jedoch ist auf eine gleichmäßige inhaltliche Aufteilung zu achten</w:t>
      </w:r>
      <w:r>
        <w:t xml:space="preserve">. </w:t>
      </w:r>
    </w:p>
    <w:p w:rsidR="00CA69F0" w:rsidRDefault="00CA69F0">
      <w:pPr>
        <w:pStyle w:val="Format21"/>
        <w:ind w:left="709" w:firstLine="0"/>
      </w:pPr>
      <w:r>
        <w:t>Die Teams müssen mit weitergehenden Fragen durch die Richter</w:t>
      </w:r>
      <w:r w:rsidR="00255F6F">
        <w:t>innen und Richter</w:t>
      </w:r>
      <w:r>
        <w:t xml:space="preserve"> rechnen. Dadurch kann sich die Dauer der </w:t>
      </w:r>
      <w:r w:rsidR="00E57E73">
        <w:t>„</w:t>
      </w:r>
      <w:r>
        <w:t>Verhandlung</w:t>
      </w:r>
      <w:r w:rsidR="00E57E73">
        <w:t>“</w:t>
      </w:r>
      <w:r>
        <w:t xml:space="preserve"> entsprechend verlängern. Das Verfahren richtet sich nach den Vorschriften des ArbGG; eine Güteverhandlung oder Vergleichsverhandlungen finden nicht statt.</w:t>
      </w:r>
    </w:p>
    <w:p w:rsidR="00CA69F0" w:rsidRPr="00D2350D" w:rsidRDefault="00CA69F0">
      <w:pPr>
        <w:pStyle w:val="Format21"/>
        <w:ind w:left="709" w:firstLine="0"/>
      </w:pPr>
      <w:r w:rsidRPr="00D2350D">
        <w:t xml:space="preserve">Die Verhandlung ist öffentlich, die </w:t>
      </w:r>
      <w:r w:rsidR="00E57E73" w:rsidRPr="00D2350D">
        <w:t xml:space="preserve">(noch im Verfahren befindlichen) </w:t>
      </w:r>
      <w:r w:rsidRPr="00D2350D">
        <w:t>Teams selbst können jedoch nicht als Zuhörer an der Verhandlung teilnehmen.</w:t>
      </w:r>
    </w:p>
    <w:p w:rsidR="00CA69F0" w:rsidRDefault="00CA69F0">
      <w:pPr>
        <w:pStyle w:val="Format21"/>
      </w:pPr>
    </w:p>
    <w:p w:rsidR="00CA69F0" w:rsidRDefault="00CA69F0">
      <w:pPr>
        <w:pStyle w:val="Format21"/>
        <w:ind w:left="709" w:firstLine="0"/>
      </w:pPr>
      <w:r>
        <w:t xml:space="preserve">Sowohl die Schriftsätze als auch der Auftritt der Teams werden entsprechend den Kriterien der juristischen Staatsprüfung bewertet. Zur Bildung einer Gesamtsumme wird die durch den eingereichten Schriftsatz erreichte Punktzahl einfach und die in der Verhandlung erreichte Punktzahl zweifach gewertet. </w:t>
      </w:r>
    </w:p>
    <w:p w:rsidR="00CA69F0" w:rsidRDefault="00CA69F0">
      <w:pPr>
        <w:pStyle w:val="Format21"/>
        <w:ind w:left="709" w:firstLine="0"/>
      </w:pPr>
      <w:r>
        <w:t>Die so gebildete Summe wird durch drei geteilt, um die Gesamtpunktzahl für jedes Team zu erhalten. Die Teams mit der</w:t>
      </w:r>
      <w:r w:rsidR="00E57E73">
        <w:t xml:space="preserve"> </w:t>
      </w:r>
      <w:r w:rsidR="00E57E73" w:rsidRPr="00D2350D">
        <w:t>jeweils</w:t>
      </w:r>
      <w:r w:rsidR="00E57E73">
        <w:t xml:space="preserve"> </w:t>
      </w:r>
      <w:r>
        <w:t>höchsten Punktzahl (unter Berücksic</w:t>
      </w:r>
      <w:r>
        <w:t>h</w:t>
      </w:r>
      <w:r>
        <w:t xml:space="preserve">tigung der Dezimalstellen) </w:t>
      </w:r>
      <w:r w:rsidR="00E11FD0" w:rsidRPr="00D2350D">
        <w:t>vor der jeweiligen Kammer</w:t>
      </w:r>
      <w:r w:rsidR="00E11FD0">
        <w:t xml:space="preserve"> </w:t>
      </w:r>
      <w:r>
        <w:t>kommen in die Zwischenru</w:t>
      </w:r>
      <w:r>
        <w:t>n</w:t>
      </w:r>
      <w:r>
        <w:t>de.</w:t>
      </w:r>
    </w:p>
    <w:p w:rsidR="00CA69F0" w:rsidRDefault="00CA69F0" w:rsidP="005A445C">
      <w:pPr>
        <w:pStyle w:val="Format2"/>
        <w:tabs>
          <w:tab w:val="clear" w:pos="851"/>
          <w:tab w:val="clear" w:pos="1418"/>
        </w:tabs>
        <w:outlineLvl w:val="0"/>
        <w:rPr>
          <w:b/>
          <w:bCs/>
        </w:rPr>
      </w:pPr>
      <w:r>
        <w:rPr>
          <w:b/>
          <w:bCs/>
        </w:rPr>
        <w:t>b)</w:t>
      </w:r>
      <w:r>
        <w:rPr>
          <w:b/>
          <w:bCs/>
        </w:rPr>
        <w:tab/>
        <w:t>Zwischenrunde</w:t>
      </w:r>
    </w:p>
    <w:p w:rsidR="00CA69F0" w:rsidRDefault="00CA69F0">
      <w:pPr>
        <w:pStyle w:val="Format21"/>
        <w:ind w:left="709" w:firstLine="0"/>
      </w:pPr>
      <w:r>
        <w:t>In der Zwischenrunde treten im “Knock out”-Verfahren jeweils zwei Teams in einer Verhandlung gegeneinander an.</w:t>
      </w:r>
      <w:r w:rsidR="00A1376C">
        <w:t xml:space="preserve"> </w:t>
      </w:r>
      <w:r w:rsidR="00E11FD0" w:rsidRPr="00D2350D">
        <w:t>Hierzu</w:t>
      </w:r>
      <w:r w:rsidR="00A1376C" w:rsidRPr="00D2350D">
        <w:t xml:space="preserve"> wird eine Fallvariante </w:t>
      </w:r>
      <w:r w:rsidR="00E11FD0" w:rsidRPr="00D2350D">
        <w:t xml:space="preserve">an die verbliebenen vier Teams </w:t>
      </w:r>
      <w:r w:rsidR="00A1376C" w:rsidRPr="00D2350D">
        <w:t>ausgegeben</w:t>
      </w:r>
      <w:r w:rsidR="00E11FD0" w:rsidRPr="00D2350D">
        <w:t>,</w:t>
      </w:r>
      <w:r w:rsidR="00A1376C" w:rsidRPr="00D2350D">
        <w:t xml:space="preserve"> zu der nach einer Vorbereitu</w:t>
      </w:r>
      <w:r w:rsidR="00E11FD0" w:rsidRPr="00D2350D">
        <w:t>ngszeit von 30 Minuten pl</w:t>
      </w:r>
      <w:r w:rsidR="00E11FD0" w:rsidRPr="00D2350D">
        <w:t>ä</w:t>
      </w:r>
      <w:r w:rsidR="00E11FD0" w:rsidRPr="00D2350D">
        <w:t>diert werden muss</w:t>
      </w:r>
      <w:r w:rsidR="00A1376C" w:rsidRPr="00D2350D">
        <w:t>.</w:t>
      </w:r>
      <w:r w:rsidR="00E11FD0" w:rsidRPr="00D2350D">
        <w:t xml:space="preserve"> </w:t>
      </w:r>
      <w:r w:rsidR="00E11FD0" w:rsidRPr="00E64137">
        <w:rPr>
          <w:u w:val="single"/>
        </w:rPr>
        <w:t>Die</w:t>
      </w:r>
      <w:r w:rsidRPr="00E64137">
        <w:rPr>
          <w:u w:val="single"/>
        </w:rPr>
        <w:t xml:space="preserve"> </w:t>
      </w:r>
      <w:r w:rsidR="00E11FD0" w:rsidRPr="00E64137">
        <w:rPr>
          <w:u w:val="single"/>
        </w:rPr>
        <w:t>Vorbereitung findet ohne eventuell mitreisende Betreue</w:t>
      </w:r>
      <w:r w:rsidR="00255F6F" w:rsidRPr="00E64137">
        <w:rPr>
          <w:u w:val="single"/>
        </w:rPr>
        <w:t>nde</w:t>
      </w:r>
      <w:r w:rsidR="00E11FD0" w:rsidRPr="00E64137">
        <w:rPr>
          <w:u w:val="single"/>
        </w:rPr>
        <w:t xml:space="preserve"> statt</w:t>
      </w:r>
      <w:r w:rsidR="00E11FD0" w:rsidRPr="00D2350D">
        <w:t>.</w:t>
      </w:r>
      <w:r w:rsidR="00E11FD0">
        <w:t xml:space="preserve"> </w:t>
      </w:r>
      <w:r>
        <w:t xml:space="preserve">Welche Teams in welcher Rolle gegeneinander antreten, entscheidet das Los. Ein Rollenwechsel ist nicht ausgeschlossen. Für den Ablauf der Verhandlung und die Bewertungsmaßstäbe gelten dieselben Regeln wie in der Eröffnungsrunde. </w:t>
      </w:r>
      <w:r w:rsidR="008C3B9D">
        <w:t>Pl</w:t>
      </w:r>
      <w:r w:rsidR="008C3B9D">
        <w:t>ä</w:t>
      </w:r>
      <w:r w:rsidR="008C3B9D">
        <w:t>diert wird über den gesamten Fall, nicht nur über die Folgen der Änderung.</w:t>
      </w:r>
    </w:p>
    <w:p w:rsidR="0089254D" w:rsidRDefault="0089254D">
      <w:pPr>
        <w:pStyle w:val="Format21"/>
        <w:ind w:left="709" w:firstLine="0"/>
      </w:pPr>
    </w:p>
    <w:p w:rsidR="008317A6" w:rsidRDefault="008317A6">
      <w:pPr>
        <w:autoSpaceDE/>
        <w:autoSpaceDN/>
      </w:pPr>
      <w:r>
        <w:br w:type="page"/>
      </w:r>
    </w:p>
    <w:p w:rsidR="00CA69F0" w:rsidRDefault="00CA69F0" w:rsidP="005A445C">
      <w:pPr>
        <w:pStyle w:val="Format2"/>
        <w:tabs>
          <w:tab w:val="clear" w:pos="851"/>
          <w:tab w:val="clear" w:pos="1418"/>
        </w:tabs>
        <w:outlineLvl w:val="0"/>
        <w:rPr>
          <w:b/>
          <w:bCs/>
        </w:rPr>
      </w:pPr>
      <w:r>
        <w:rPr>
          <w:b/>
          <w:bCs/>
        </w:rPr>
        <w:lastRenderedPageBreak/>
        <w:t>c)</w:t>
      </w:r>
      <w:r>
        <w:rPr>
          <w:b/>
          <w:bCs/>
        </w:rPr>
        <w:tab/>
        <w:t>Finalrunde</w:t>
      </w:r>
    </w:p>
    <w:p w:rsidR="00CA69F0" w:rsidRDefault="00CA69F0">
      <w:pPr>
        <w:pStyle w:val="Format21"/>
        <w:ind w:left="709" w:firstLine="0"/>
      </w:pPr>
      <w:r>
        <w:t>Die beiden besten Teams aus der zweiten Runde treten gegeneinander an. We</w:t>
      </w:r>
      <w:r>
        <w:t>l</w:t>
      </w:r>
      <w:r>
        <w:t>ches Team welche Rolle übernimmt, entscheidet das Los. Es findet eine “Verhan</w:t>
      </w:r>
      <w:r>
        <w:t>d</w:t>
      </w:r>
      <w:r>
        <w:t xml:space="preserve">lung” statt, die wie in der Zwischenrunde </w:t>
      </w:r>
      <w:r w:rsidR="008C3B9D">
        <w:t xml:space="preserve">anhand der Fallvariante </w:t>
      </w:r>
      <w:r>
        <w:t>geführt und bewe</w:t>
      </w:r>
      <w:r>
        <w:t>r</w:t>
      </w:r>
      <w:r>
        <w:t>tet wird.</w:t>
      </w:r>
    </w:p>
    <w:p w:rsidR="00CA69F0" w:rsidRDefault="00CA69F0" w:rsidP="005A445C">
      <w:pPr>
        <w:pStyle w:val="Format2"/>
        <w:tabs>
          <w:tab w:val="clear" w:pos="851"/>
          <w:tab w:val="clear" w:pos="1418"/>
        </w:tabs>
        <w:outlineLvl w:val="0"/>
        <w:rPr>
          <w:b/>
          <w:bCs/>
        </w:rPr>
      </w:pPr>
      <w:r>
        <w:rPr>
          <w:b/>
          <w:bCs/>
        </w:rPr>
        <w:t>6.</w:t>
      </w:r>
      <w:r>
        <w:rPr>
          <w:b/>
          <w:bCs/>
        </w:rPr>
        <w:tab/>
        <w:t>Gericht und Entscheidung</w:t>
      </w:r>
    </w:p>
    <w:p w:rsidR="00CA69F0" w:rsidRDefault="00D2350D">
      <w:pPr>
        <w:pStyle w:val="Format21"/>
        <w:ind w:left="709" w:firstLine="0"/>
      </w:pPr>
      <w:r w:rsidRPr="00D2350D">
        <w:t xml:space="preserve">Die </w:t>
      </w:r>
      <w:r w:rsidR="00E11FD0" w:rsidRPr="00D2350D">
        <w:t>vier Kammern</w:t>
      </w:r>
      <w:r w:rsidR="00CA69F0">
        <w:t xml:space="preserve"> besteh</w:t>
      </w:r>
      <w:r w:rsidR="00E11FD0">
        <w:t>en</w:t>
      </w:r>
      <w:r w:rsidR="00CA69F0">
        <w:t xml:space="preserve"> aus einer ungeraden Zahl von Richter</w:t>
      </w:r>
      <w:r w:rsidR="0031522D">
        <w:t>inne</w:t>
      </w:r>
      <w:r w:rsidR="00CA69F0">
        <w:t>n</w:t>
      </w:r>
      <w:r w:rsidR="00255F6F">
        <w:t xml:space="preserve"> und Ric</w:t>
      </w:r>
      <w:r w:rsidR="00255F6F">
        <w:t>h</w:t>
      </w:r>
      <w:r w:rsidR="00255F6F">
        <w:t>tern</w:t>
      </w:r>
      <w:r w:rsidR="00CA69F0">
        <w:t>, von denen eine</w:t>
      </w:r>
      <w:r w:rsidR="00255F6F">
        <w:t xml:space="preserve"> Person</w:t>
      </w:r>
      <w:r w:rsidR="00CA69F0">
        <w:t xml:space="preserve"> den Vorsitz führt. Nach der Verhandlung und Beratung in der Eröffnungsrunde wird den Teams nicht öffentlich ggf. jedoch in Anwesenheit der Betreue</w:t>
      </w:r>
      <w:r w:rsidR="00255F6F">
        <w:t>nden</w:t>
      </w:r>
      <w:r w:rsidR="00CA69F0">
        <w:t xml:space="preserve"> aus den Lehrstühlen bekannt gegeben, wo die Schwächen und Stärken ihres Auftritts lagen. </w:t>
      </w:r>
      <w:r w:rsidR="00CA69F0" w:rsidRPr="00D2350D">
        <w:t xml:space="preserve">In der </w:t>
      </w:r>
      <w:r w:rsidR="00BB52DA">
        <w:t>Zwischen-</w:t>
      </w:r>
      <w:r w:rsidR="00CA69F0" w:rsidRPr="00D2350D">
        <w:t xml:space="preserve"> und der Finalrunde wird öffentlich b</w:t>
      </w:r>
      <w:r w:rsidR="00CA69F0" w:rsidRPr="00D2350D">
        <w:t>e</w:t>
      </w:r>
      <w:r w:rsidR="00CA69F0" w:rsidRPr="00D2350D">
        <w:t>gründet, warum die Richterbank ein Team besser angesehen hat als das andere.</w:t>
      </w:r>
      <w:r w:rsidR="00E11FD0" w:rsidRPr="00D2350D">
        <w:t xml:space="preserve"> Die Kammerbesetzungen </w:t>
      </w:r>
      <w:r w:rsidR="00491D47" w:rsidRPr="00D2350D">
        <w:t>ändern sich ab der Zwischenrunde</w:t>
      </w:r>
      <w:r w:rsidR="00E11FD0" w:rsidRPr="00D2350D">
        <w:t>, da sich die Anzahl der Kammern reduziert.</w:t>
      </w:r>
    </w:p>
    <w:p w:rsidR="00CA69F0" w:rsidRDefault="00CA69F0">
      <w:pPr>
        <w:pStyle w:val="Format21"/>
        <w:ind w:left="709" w:firstLine="0"/>
      </w:pPr>
      <w:r>
        <w:t xml:space="preserve">Am Ende der Veranstaltung wird </w:t>
      </w:r>
      <w:r w:rsidR="00D2350D">
        <w:t xml:space="preserve">(auch für die Fallvariante) </w:t>
      </w:r>
      <w:r>
        <w:t>eine schriftliche Falll</w:t>
      </w:r>
      <w:r>
        <w:t>ö</w:t>
      </w:r>
      <w:r>
        <w:t>sung verteilt, aus der sich ergibt, welche Rechtsfragen hätten behandelt werden so</w:t>
      </w:r>
      <w:r>
        <w:t>l</w:t>
      </w:r>
      <w:r>
        <w:t>len</w:t>
      </w:r>
      <w:r w:rsidR="00D2350D">
        <w:t>.</w:t>
      </w:r>
    </w:p>
    <w:p w:rsidR="00CA69F0" w:rsidRDefault="00CA69F0" w:rsidP="005A445C">
      <w:pPr>
        <w:pStyle w:val="Format2"/>
        <w:tabs>
          <w:tab w:val="clear" w:pos="851"/>
          <w:tab w:val="clear" w:pos="1418"/>
        </w:tabs>
        <w:outlineLvl w:val="0"/>
        <w:rPr>
          <w:b/>
          <w:bCs/>
        </w:rPr>
      </w:pPr>
      <w:r>
        <w:rPr>
          <w:b/>
          <w:bCs/>
        </w:rPr>
        <w:t>7.</w:t>
      </w:r>
      <w:r>
        <w:rPr>
          <w:b/>
          <w:bCs/>
        </w:rPr>
        <w:tab/>
        <w:t>Preise</w:t>
      </w:r>
    </w:p>
    <w:p w:rsidR="00CA69F0" w:rsidRDefault="00CA69F0">
      <w:pPr>
        <w:pStyle w:val="Format21"/>
        <w:ind w:left="709" w:firstLine="0"/>
      </w:pPr>
      <w:r>
        <w:t>Die</w:t>
      </w:r>
      <w:r w:rsidR="00255F6F">
        <w:t xml:space="preserve"> Teilnehmenden, die gewinnen,</w:t>
      </w:r>
      <w:r>
        <w:t xml:space="preserve"> erhalten Buchpreise. Über die Teilnahme wird eine Bescheinigung erteilt, die keine Angaben über die erreichte Punktzahl enthält. Den Teilnehme</w:t>
      </w:r>
      <w:r w:rsidR="00255F6F">
        <w:t>nden</w:t>
      </w:r>
      <w:r>
        <w:t xml:space="preserve"> der Zwischenrunde wird das Erreichen dieser Runde bestätigt. Dem gewinnenden sowie dem zweitbesten Team wird das Ergebnis der Teilnahme bestätigt</w:t>
      </w:r>
      <w:r w:rsidR="00D2350D">
        <w:t xml:space="preserve">. </w:t>
      </w:r>
      <w:r w:rsidR="00491D47" w:rsidRPr="00D2350D">
        <w:t>Teilnahmebescheinigungen werden erst nach der Bekannt</w:t>
      </w:r>
      <w:r w:rsidR="00245F15">
        <w:t xml:space="preserve">gabe </w:t>
      </w:r>
      <w:r w:rsidR="00255F6F">
        <w:t>des E</w:t>
      </w:r>
      <w:r w:rsidR="00255F6F">
        <w:t>r</w:t>
      </w:r>
      <w:r w:rsidR="00255F6F">
        <w:t>ge</w:t>
      </w:r>
      <w:r w:rsidR="00CF605F">
        <w:t>b</w:t>
      </w:r>
      <w:r w:rsidR="00F63D77">
        <w:t>n</w:t>
      </w:r>
      <w:r w:rsidR="00255F6F">
        <w:t xml:space="preserve">isses des </w:t>
      </w:r>
      <w:proofErr w:type="spellStart"/>
      <w:r w:rsidR="00255F6F">
        <w:t>Moot</w:t>
      </w:r>
      <w:proofErr w:type="spellEnd"/>
      <w:r w:rsidR="007E78E6">
        <w:t xml:space="preserve"> </w:t>
      </w:r>
      <w:proofErr w:type="spellStart"/>
      <w:r w:rsidR="00255F6F">
        <w:t>Court’s</w:t>
      </w:r>
      <w:proofErr w:type="spellEnd"/>
      <w:r w:rsidR="00255F6F">
        <w:t xml:space="preserve"> </w:t>
      </w:r>
      <w:r w:rsidR="00245F15">
        <w:t xml:space="preserve">ausgegeben </w:t>
      </w:r>
      <w:r w:rsidR="00245F15" w:rsidRPr="00C70E7A">
        <w:t>oder auf Wunsch zugesandt.</w:t>
      </w:r>
    </w:p>
    <w:p w:rsidR="005A0F0A" w:rsidRDefault="00CA69F0" w:rsidP="005A445C">
      <w:pPr>
        <w:pStyle w:val="Format2"/>
        <w:tabs>
          <w:tab w:val="clear" w:pos="851"/>
          <w:tab w:val="clear" w:pos="1418"/>
        </w:tabs>
        <w:outlineLvl w:val="0"/>
        <w:rPr>
          <w:b/>
          <w:bCs/>
        </w:rPr>
      </w:pPr>
      <w:r>
        <w:rPr>
          <w:b/>
          <w:bCs/>
        </w:rPr>
        <w:t>8.</w:t>
      </w:r>
      <w:r>
        <w:rPr>
          <w:b/>
          <w:bCs/>
        </w:rPr>
        <w:tab/>
        <w:t>Kosten</w:t>
      </w:r>
    </w:p>
    <w:p w:rsidR="005A0F0A" w:rsidRDefault="005A0F0A" w:rsidP="005A0F0A">
      <w:pPr>
        <w:pStyle w:val="Format21"/>
        <w:ind w:left="709" w:firstLine="0"/>
      </w:pPr>
      <w:r>
        <w:t>Die Teilnahme am Wettbewerb ist kostenfrei. Auslagen werden nicht erstattet.</w:t>
      </w:r>
    </w:p>
    <w:p w:rsidR="009D7BD5" w:rsidRDefault="009D7BD5">
      <w:pPr>
        <w:autoSpaceDE/>
        <w:autoSpaceDN/>
      </w:pPr>
      <w:r>
        <w:br w:type="page"/>
      </w:r>
    </w:p>
    <w:p w:rsidR="00D2350D" w:rsidRPr="005A0F0A" w:rsidRDefault="005A0F0A" w:rsidP="005A445C">
      <w:pPr>
        <w:pStyle w:val="Format2"/>
        <w:tabs>
          <w:tab w:val="clear" w:pos="851"/>
          <w:tab w:val="clear" w:pos="1418"/>
        </w:tabs>
        <w:outlineLvl w:val="0"/>
        <w:rPr>
          <w:b/>
        </w:rPr>
      </w:pPr>
      <w:bookmarkStart w:id="0" w:name="_GoBack"/>
      <w:bookmarkEnd w:id="0"/>
      <w:r w:rsidRPr="005A0F0A">
        <w:rPr>
          <w:b/>
        </w:rPr>
        <w:lastRenderedPageBreak/>
        <w:t>9.</w:t>
      </w:r>
      <w:r w:rsidRPr="005A0F0A">
        <w:rPr>
          <w:b/>
        </w:rPr>
        <w:tab/>
      </w:r>
      <w:r w:rsidR="00D2350D" w:rsidRPr="005A0F0A">
        <w:rPr>
          <w:b/>
        </w:rPr>
        <w:t>Dokumentation</w:t>
      </w:r>
    </w:p>
    <w:p w:rsidR="00D2350D" w:rsidRDefault="009E2BC9">
      <w:pPr>
        <w:pStyle w:val="Format21"/>
        <w:ind w:left="709" w:firstLine="0"/>
      </w:pPr>
      <w:r>
        <w:t xml:space="preserve">Während der Veranstaltung werden Fotoaufnahmen gemacht. </w:t>
      </w:r>
      <w:r w:rsidR="007E78E6">
        <w:t xml:space="preserve">Mit der Anmeldung erklären die Teilnehmenden dafür das Einverständnis. </w:t>
      </w:r>
      <w:r w:rsidR="00CA66AF">
        <w:t>Informationen über die Ve</w:t>
      </w:r>
      <w:r w:rsidR="00CA66AF">
        <w:t>r</w:t>
      </w:r>
      <w:r w:rsidR="00CA66AF">
        <w:t>anstaltung werden auf die Website des Bundesarbeitsgericht</w:t>
      </w:r>
      <w:r w:rsidR="0080137B">
        <w:t>s</w:t>
      </w:r>
      <w:r w:rsidR="00CA66AF">
        <w:t xml:space="preserve"> gestellt. </w:t>
      </w:r>
      <w:r>
        <w:t>Das Bu</w:t>
      </w:r>
      <w:r>
        <w:t>n</w:t>
      </w:r>
      <w:r>
        <w:t>desarbeitsgericht behält sich vor</w:t>
      </w:r>
      <w:r w:rsidR="000472F4">
        <w:t>,</w:t>
      </w:r>
      <w:r>
        <w:t xml:space="preserve"> Aufnahmen in Zeitschriften, Broschüren oder auf der </w:t>
      </w:r>
      <w:r w:rsidR="0045463C">
        <w:t>Website</w:t>
      </w:r>
      <w:r>
        <w:t xml:space="preserve"> zu veröffentlichen. </w:t>
      </w:r>
    </w:p>
    <w:p w:rsidR="00CA69F0" w:rsidRDefault="00D2350D" w:rsidP="005A445C">
      <w:pPr>
        <w:pStyle w:val="Format2"/>
        <w:tabs>
          <w:tab w:val="clear" w:pos="851"/>
          <w:tab w:val="clear" w:pos="1418"/>
        </w:tabs>
        <w:outlineLvl w:val="0"/>
        <w:rPr>
          <w:b/>
          <w:bCs/>
        </w:rPr>
      </w:pPr>
      <w:r>
        <w:rPr>
          <w:b/>
          <w:bCs/>
        </w:rPr>
        <w:t>10</w:t>
      </w:r>
      <w:r w:rsidR="00CA69F0">
        <w:rPr>
          <w:b/>
          <w:bCs/>
        </w:rPr>
        <w:t>.</w:t>
      </w:r>
      <w:r w:rsidR="00CA69F0">
        <w:rPr>
          <w:b/>
          <w:bCs/>
        </w:rPr>
        <w:tab/>
        <w:t>Anmeldung</w:t>
      </w:r>
    </w:p>
    <w:p w:rsidR="00FE10B3" w:rsidRDefault="00CA69F0">
      <w:pPr>
        <w:pStyle w:val="Format21"/>
        <w:ind w:left="709" w:firstLine="0"/>
      </w:pPr>
      <w:r>
        <w:t xml:space="preserve">Die Anmeldung erfolgt über die betreuenden </w:t>
      </w:r>
      <w:r>
        <w:rPr>
          <w:u w:val="single"/>
        </w:rPr>
        <w:t>Lehrstühle</w:t>
      </w:r>
      <w:r>
        <w:t>. In der Anmeldung sind der betreuende Lehrstuhl, die Namen und Adressen der Teammitglieder, deren Seme</w:t>
      </w:r>
      <w:r>
        <w:t>s</w:t>
      </w:r>
      <w:r>
        <w:t>terzahl und eine Kontaktperson des Teams gegenüber dem Veranstalter anzug</w:t>
      </w:r>
      <w:r>
        <w:t>e</w:t>
      </w:r>
      <w:r>
        <w:t xml:space="preserve">ben. </w:t>
      </w:r>
    </w:p>
    <w:p w:rsidR="005A0F0A" w:rsidRDefault="00CA69F0">
      <w:pPr>
        <w:pStyle w:val="Format21"/>
        <w:ind w:left="709" w:firstLine="0"/>
      </w:pPr>
      <w:r>
        <w:t>Die Kontaktperson muss auch Angaben zur telefonischen Erreichbarkeit und ihrer E-Mail-Adresse machen. Mitteilungen de</w:t>
      </w:r>
      <w:r w:rsidR="00BB52DA">
        <w:t>s</w:t>
      </w:r>
      <w:r>
        <w:t xml:space="preserve"> Veranstalter</w:t>
      </w:r>
      <w:r w:rsidR="00BB52DA">
        <w:t>s</w:t>
      </w:r>
      <w:r>
        <w:t xml:space="preserve"> erfolgen nur an die benan</w:t>
      </w:r>
      <w:r>
        <w:t>n</w:t>
      </w:r>
      <w:r>
        <w:t xml:space="preserve">te Kontaktperson. </w:t>
      </w:r>
    </w:p>
    <w:p w:rsidR="00CA69F0" w:rsidRDefault="00245F15">
      <w:pPr>
        <w:pStyle w:val="Format21"/>
        <w:ind w:left="709" w:firstLine="0"/>
      </w:pPr>
      <w:r w:rsidRPr="005A445C">
        <w:t>Der gesamte Schriftverkehr</w:t>
      </w:r>
      <w:r>
        <w:t xml:space="preserve"> </w:t>
      </w:r>
      <w:r w:rsidR="00CA69F0">
        <w:t>findet nur über E-Mail statt. Die teilnehmenden Teams sind für die Funktionsfähigkeit ihres E-Mail</w:t>
      </w:r>
      <w:r w:rsidR="00F1479C">
        <w:t>-P</w:t>
      </w:r>
      <w:r w:rsidR="00CA69F0">
        <w:t>ostfachs</w:t>
      </w:r>
      <w:r>
        <w:t xml:space="preserve"> und damit die pünktliche Z</w:t>
      </w:r>
      <w:r>
        <w:t>u</w:t>
      </w:r>
      <w:r>
        <w:t>stellbarkeit des Falles</w:t>
      </w:r>
      <w:r w:rsidR="00CA69F0">
        <w:t xml:space="preserve"> selbst verantwortlich.</w:t>
      </w:r>
      <w:r>
        <w:t xml:space="preserve"> </w:t>
      </w:r>
    </w:p>
    <w:p w:rsidR="00CA3969" w:rsidRDefault="00CA69F0" w:rsidP="00F63D77">
      <w:pPr>
        <w:pStyle w:val="Format21"/>
        <w:ind w:firstLine="709"/>
      </w:pPr>
      <w:r>
        <w:t xml:space="preserve">Die Anmeldung erfolgt </w:t>
      </w:r>
      <w:r w:rsidR="00CA3969">
        <w:t>per E-Mail an:</w:t>
      </w:r>
    </w:p>
    <w:p w:rsidR="00CA69F0" w:rsidRDefault="00F1479C">
      <w:pPr>
        <w:pStyle w:val="Format21"/>
        <w:jc w:val="center"/>
        <w:rPr>
          <w:b/>
          <w:bCs/>
        </w:rPr>
      </w:pPr>
      <w:r>
        <w:rPr>
          <w:b/>
          <w:bCs/>
        </w:rPr>
        <w:t>v</w:t>
      </w:r>
      <w:r w:rsidR="00CA3969">
        <w:rPr>
          <w:b/>
          <w:bCs/>
        </w:rPr>
        <w:t>erwaltung@bundesarbeitsgericht.de</w:t>
      </w:r>
      <w:r w:rsidR="00CA3969">
        <w:t xml:space="preserve"> </w:t>
      </w:r>
    </w:p>
    <w:p w:rsidR="00245F15" w:rsidRDefault="00EB4E85" w:rsidP="00F63D77">
      <w:pPr>
        <w:pStyle w:val="Format21"/>
        <w:ind w:firstLine="709"/>
        <w:rPr>
          <w:b/>
        </w:rPr>
      </w:pPr>
      <w:r>
        <w:t xml:space="preserve">Anmeldeschluss ist </w:t>
      </w:r>
      <w:r w:rsidR="00CA66AF">
        <w:t>Freitag, 16. Juni 2017.</w:t>
      </w:r>
    </w:p>
    <w:p w:rsidR="00CA69F0" w:rsidRDefault="00CA69F0" w:rsidP="00F63D77">
      <w:pPr>
        <w:pStyle w:val="Format21"/>
        <w:ind w:firstLine="709"/>
      </w:pPr>
      <w:r>
        <w:t>Mit der Anmeldung werden die Bedingungen dieses Merkblatts anerkannt.</w:t>
      </w:r>
    </w:p>
    <w:p w:rsidR="00CA69F0" w:rsidRDefault="00CA69F0" w:rsidP="005A445C">
      <w:pPr>
        <w:pStyle w:val="Format2"/>
        <w:tabs>
          <w:tab w:val="clear" w:pos="851"/>
          <w:tab w:val="clear" w:pos="1418"/>
        </w:tabs>
        <w:outlineLvl w:val="0"/>
        <w:rPr>
          <w:b/>
          <w:bCs/>
        </w:rPr>
      </w:pPr>
      <w:r>
        <w:rPr>
          <w:b/>
          <w:bCs/>
        </w:rPr>
        <w:t>1</w:t>
      </w:r>
      <w:r w:rsidR="00EB4E85">
        <w:rPr>
          <w:b/>
          <w:bCs/>
        </w:rPr>
        <w:t>1</w:t>
      </w:r>
      <w:r>
        <w:rPr>
          <w:b/>
          <w:bCs/>
        </w:rPr>
        <w:t>.</w:t>
      </w:r>
      <w:r>
        <w:rPr>
          <w:b/>
          <w:bCs/>
        </w:rPr>
        <w:tab/>
        <w:t>Verfahrensänderungen</w:t>
      </w:r>
    </w:p>
    <w:p w:rsidR="00CA69F0" w:rsidRDefault="00CA69F0">
      <w:pPr>
        <w:pStyle w:val="Format21"/>
        <w:ind w:left="709" w:firstLine="0"/>
      </w:pPr>
      <w:r>
        <w:t>Der Veranstalter behält sich vor, aus organisatorischen Gründen von dem beschri</w:t>
      </w:r>
      <w:r>
        <w:t>e</w:t>
      </w:r>
      <w:r>
        <w:t>benen Verfahren abzuweichen, wenn dies zur Sicherung einer ordnungsgemäßen Wettbewerbsdurchführung oder zur Verhinderung von Wettbewerbsverzerrungen e</w:t>
      </w:r>
      <w:r>
        <w:t>r</w:t>
      </w:r>
      <w:r>
        <w:t>forderlich ist. Die Teams werden so rechtzeitig von Änderungen unterrichtet, dass es ihnen möglich ist, sich darauf einzustellen.</w:t>
      </w:r>
    </w:p>
    <w:sectPr w:rsidR="00CA69F0" w:rsidSect="0089254D">
      <w:headerReference w:type="default" r:id="rId8"/>
      <w:footerReference w:type="default" r:id="rId9"/>
      <w:footerReference w:type="first" r:id="rId10"/>
      <w:type w:val="continuous"/>
      <w:pgSz w:w="11907" w:h="16840" w:code="9"/>
      <w:pgMar w:top="1701" w:right="1275" w:bottom="1701" w:left="1701" w:header="709" w:footer="709" w:gutter="0"/>
      <w:cols w:space="709"/>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57" w:rsidRDefault="00200A57">
      <w:pPr>
        <w:pStyle w:val="Fuzeile"/>
      </w:pPr>
      <w:r>
        <w:separator/>
      </w:r>
    </w:p>
  </w:endnote>
  <w:endnote w:type="continuationSeparator" w:id="0">
    <w:p w:rsidR="00200A57" w:rsidRDefault="00200A57">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0" w:rsidRDefault="00CA69F0">
    <w:pPr>
      <w:pStyle w:val="Fuzeile"/>
      <w:jc w:val="right"/>
    </w:pPr>
    <w:r>
      <w:fldChar w:fldCharType="begin"/>
    </w:r>
    <w:r>
      <w:instrText xml:space="preserve"> IF</w:instrText>
    </w:r>
    <w:r>
      <w:rPr>
        <w:rStyle w:val="Seitenzahl"/>
        <w:rFonts w:cs="Helvetica"/>
      </w:rPr>
      <w:fldChar w:fldCharType="begin"/>
    </w:r>
    <w:r>
      <w:rPr>
        <w:rStyle w:val="Seitenzahl"/>
        <w:rFonts w:cs="Helvetica"/>
      </w:rPr>
      <w:instrText xml:space="preserve"> PAGE </w:instrText>
    </w:r>
    <w:r>
      <w:rPr>
        <w:rStyle w:val="Seitenzahl"/>
        <w:rFonts w:cs="Helvetica"/>
      </w:rPr>
      <w:fldChar w:fldCharType="separate"/>
    </w:r>
    <w:r w:rsidR="009D7BD5">
      <w:rPr>
        <w:rStyle w:val="Seitenzahl"/>
        <w:rFonts w:cs="Helvetica"/>
        <w:noProof/>
      </w:rPr>
      <w:instrText>5</w:instrText>
    </w:r>
    <w:r>
      <w:rPr>
        <w:rStyle w:val="Seitenzahl"/>
        <w:rFonts w:cs="Helvetica"/>
      </w:rPr>
      <w:fldChar w:fldCharType="end"/>
    </w:r>
    <w:r>
      <w:rPr>
        <w:rStyle w:val="Seitenzahl"/>
        <w:rFonts w:cs="Helvetica"/>
      </w:rPr>
      <w:instrText>&lt;</w:instrText>
    </w:r>
    <w:r>
      <w:rPr>
        <w:rStyle w:val="Seitenzahl"/>
        <w:rFonts w:cs="Helvetica"/>
      </w:rPr>
      <w:fldChar w:fldCharType="begin"/>
    </w:r>
    <w:r>
      <w:rPr>
        <w:rStyle w:val="Seitenzahl"/>
        <w:rFonts w:cs="Helvetica"/>
      </w:rPr>
      <w:instrText xml:space="preserve"> NUMPAGES </w:instrText>
    </w:r>
    <w:r>
      <w:rPr>
        <w:rStyle w:val="Seitenzahl"/>
        <w:rFonts w:cs="Helvetica"/>
      </w:rPr>
      <w:fldChar w:fldCharType="separate"/>
    </w:r>
    <w:r w:rsidR="009D7BD5">
      <w:rPr>
        <w:rStyle w:val="Seitenzahl"/>
        <w:rFonts w:cs="Helvetica"/>
        <w:noProof/>
      </w:rPr>
      <w:instrText>5</w:instrText>
    </w:r>
    <w:r>
      <w:rPr>
        <w:rStyle w:val="Seitenzahl"/>
        <w:rFonts w:cs="Helvetica"/>
      </w:rPr>
      <w:fldChar w:fldCharType="end"/>
    </w:r>
    <w:r>
      <w:rPr>
        <w:rStyle w:val="Seitenzahl"/>
        <w:rFonts w:cs="Helvetica"/>
      </w:rPr>
      <w:instrText xml:space="preserve"> " - </w:instrText>
    </w:r>
    <w:r>
      <w:rPr>
        <w:rStyle w:val="Seitenzahl"/>
        <w:rFonts w:cs="Helvetica"/>
      </w:rPr>
      <w:fldChar w:fldCharType="begin"/>
    </w:r>
    <w:r>
      <w:rPr>
        <w:rStyle w:val="Seitenzahl"/>
        <w:rFonts w:cs="Helvetica"/>
      </w:rPr>
      <w:instrText xml:space="preserve"> =</w:instrText>
    </w:r>
    <w:r>
      <w:rPr>
        <w:rStyle w:val="Seitenzahl"/>
        <w:rFonts w:cs="Helvetica"/>
      </w:rPr>
      <w:fldChar w:fldCharType="begin"/>
    </w:r>
    <w:r>
      <w:rPr>
        <w:rStyle w:val="Seitenzahl"/>
        <w:rFonts w:cs="Helvetica"/>
      </w:rPr>
      <w:instrText xml:space="preserve"> PAGE </w:instrText>
    </w:r>
    <w:r>
      <w:rPr>
        <w:rStyle w:val="Seitenzahl"/>
        <w:rFonts w:cs="Helvetica"/>
      </w:rPr>
      <w:fldChar w:fldCharType="separate"/>
    </w:r>
    <w:r w:rsidR="009D7BD5">
      <w:rPr>
        <w:rStyle w:val="Seitenzahl"/>
        <w:rFonts w:cs="Helvetica"/>
        <w:noProof/>
      </w:rPr>
      <w:instrText>4</w:instrText>
    </w:r>
    <w:r>
      <w:rPr>
        <w:rStyle w:val="Seitenzahl"/>
        <w:rFonts w:cs="Helvetica"/>
      </w:rPr>
      <w:fldChar w:fldCharType="end"/>
    </w:r>
    <w:r>
      <w:rPr>
        <w:rStyle w:val="Seitenzahl"/>
        <w:rFonts w:cs="Helvetica"/>
      </w:rPr>
      <w:instrText xml:space="preserve"> + 1 </w:instrText>
    </w:r>
    <w:r>
      <w:rPr>
        <w:rStyle w:val="Seitenzahl"/>
        <w:rFonts w:cs="Helvetica"/>
      </w:rPr>
      <w:fldChar w:fldCharType="separate"/>
    </w:r>
    <w:r w:rsidR="009D7BD5">
      <w:rPr>
        <w:rStyle w:val="Seitenzahl"/>
        <w:rFonts w:cs="Helvetica"/>
        <w:noProof/>
      </w:rPr>
      <w:instrText>5</w:instrText>
    </w:r>
    <w:r>
      <w:rPr>
        <w:rStyle w:val="Seitenzahl"/>
        <w:rFonts w:cs="Helvetica"/>
      </w:rPr>
      <w:fldChar w:fldCharType="end"/>
    </w:r>
    <w:r>
      <w:rPr>
        <w:rStyle w:val="Seitenzahl"/>
        <w:rFonts w:cs="Helvetica"/>
      </w:rPr>
      <w:instrText xml:space="preserve"> -  " ""</w:instrText>
    </w:r>
    <w:r>
      <w:instrText xml:space="preserve"> </w:instrText>
    </w:r>
    <w:r>
      <w:fldChar w:fldCharType="end"/>
    </w:r>
  </w:p>
  <w:p w:rsidR="00CA69F0" w:rsidRDefault="00CA69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0" w:rsidRDefault="00CA69F0">
    <w:pPr>
      <w:pStyle w:val="Fuzeile"/>
      <w:jc w:val="right"/>
    </w:pPr>
    <w:r>
      <w:fldChar w:fldCharType="begin"/>
    </w:r>
    <w:r>
      <w:instrText xml:space="preserve"> IF</w:instrText>
    </w:r>
    <w:r>
      <w:rPr>
        <w:rStyle w:val="Seitenzahl"/>
        <w:rFonts w:cs="Helvetica"/>
      </w:rPr>
      <w:fldChar w:fldCharType="begin"/>
    </w:r>
    <w:r>
      <w:rPr>
        <w:rStyle w:val="Seitenzahl"/>
        <w:rFonts w:cs="Helvetica"/>
      </w:rPr>
      <w:instrText xml:space="preserve"> PAGE </w:instrText>
    </w:r>
    <w:r>
      <w:rPr>
        <w:rStyle w:val="Seitenzahl"/>
        <w:rFonts w:cs="Helvetica"/>
      </w:rPr>
      <w:fldChar w:fldCharType="separate"/>
    </w:r>
    <w:r w:rsidR="009D7BD5">
      <w:rPr>
        <w:rStyle w:val="Seitenzahl"/>
        <w:rFonts w:cs="Helvetica"/>
        <w:noProof/>
      </w:rPr>
      <w:instrText>1</w:instrText>
    </w:r>
    <w:r>
      <w:rPr>
        <w:rStyle w:val="Seitenzahl"/>
        <w:rFonts w:cs="Helvetica"/>
      </w:rPr>
      <w:fldChar w:fldCharType="end"/>
    </w:r>
    <w:r>
      <w:rPr>
        <w:rStyle w:val="Seitenzahl"/>
        <w:rFonts w:cs="Helvetica"/>
      </w:rPr>
      <w:instrText>&lt;</w:instrText>
    </w:r>
    <w:r>
      <w:rPr>
        <w:rStyle w:val="Seitenzahl"/>
        <w:rFonts w:cs="Helvetica"/>
      </w:rPr>
      <w:fldChar w:fldCharType="begin"/>
    </w:r>
    <w:r>
      <w:rPr>
        <w:rStyle w:val="Seitenzahl"/>
        <w:rFonts w:cs="Helvetica"/>
      </w:rPr>
      <w:instrText xml:space="preserve"> NUMPAGES </w:instrText>
    </w:r>
    <w:r>
      <w:rPr>
        <w:rStyle w:val="Seitenzahl"/>
        <w:rFonts w:cs="Helvetica"/>
      </w:rPr>
      <w:fldChar w:fldCharType="separate"/>
    </w:r>
    <w:r w:rsidR="009D7BD5">
      <w:rPr>
        <w:rStyle w:val="Seitenzahl"/>
        <w:rFonts w:cs="Helvetica"/>
        <w:noProof/>
      </w:rPr>
      <w:instrText>5</w:instrText>
    </w:r>
    <w:r>
      <w:rPr>
        <w:rStyle w:val="Seitenzahl"/>
        <w:rFonts w:cs="Helvetica"/>
      </w:rPr>
      <w:fldChar w:fldCharType="end"/>
    </w:r>
    <w:r>
      <w:rPr>
        <w:rStyle w:val="Seitenzahl"/>
        <w:rFonts w:cs="Helvetica"/>
      </w:rPr>
      <w:instrText xml:space="preserve"> " - </w:instrText>
    </w:r>
    <w:r>
      <w:rPr>
        <w:rStyle w:val="Seitenzahl"/>
        <w:rFonts w:cs="Helvetica"/>
      </w:rPr>
      <w:fldChar w:fldCharType="begin"/>
    </w:r>
    <w:r>
      <w:rPr>
        <w:rStyle w:val="Seitenzahl"/>
        <w:rFonts w:cs="Helvetica"/>
      </w:rPr>
      <w:instrText xml:space="preserve"> =</w:instrText>
    </w:r>
    <w:r>
      <w:rPr>
        <w:rStyle w:val="Seitenzahl"/>
        <w:rFonts w:cs="Helvetica"/>
      </w:rPr>
      <w:fldChar w:fldCharType="begin"/>
    </w:r>
    <w:r>
      <w:rPr>
        <w:rStyle w:val="Seitenzahl"/>
        <w:rFonts w:cs="Helvetica"/>
      </w:rPr>
      <w:instrText xml:space="preserve"> PAGE </w:instrText>
    </w:r>
    <w:r>
      <w:rPr>
        <w:rStyle w:val="Seitenzahl"/>
        <w:rFonts w:cs="Helvetica"/>
      </w:rPr>
      <w:fldChar w:fldCharType="separate"/>
    </w:r>
    <w:r w:rsidR="009D7BD5">
      <w:rPr>
        <w:rStyle w:val="Seitenzahl"/>
        <w:rFonts w:cs="Helvetica"/>
        <w:noProof/>
      </w:rPr>
      <w:instrText>1</w:instrText>
    </w:r>
    <w:r>
      <w:rPr>
        <w:rStyle w:val="Seitenzahl"/>
        <w:rFonts w:cs="Helvetica"/>
      </w:rPr>
      <w:fldChar w:fldCharType="end"/>
    </w:r>
    <w:r>
      <w:rPr>
        <w:rStyle w:val="Seitenzahl"/>
        <w:rFonts w:cs="Helvetica"/>
      </w:rPr>
      <w:instrText xml:space="preserve"> + 1 </w:instrText>
    </w:r>
    <w:r>
      <w:rPr>
        <w:rStyle w:val="Seitenzahl"/>
        <w:rFonts w:cs="Helvetica"/>
      </w:rPr>
      <w:fldChar w:fldCharType="separate"/>
    </w:r>
    <w:r w:rsidR="009D7BD5">
      <w:rPr>
        <w:rStyle w:val="Seitenzahl"/>
        <w:rFonts w:cs="Helvetica"/>
        <w:noProof/>
      </w:rPr>
      <w:instrText>2</w:instrText>
    </w:r>
    <w:r>
      <w:rPr>
        <w:rStyle w:val="Seitenzahl"/>
        <w:rFonts w:cs="Helvetica"/>
      </w:rPr>
      <w:fldChar w:fldCharType="end"/>
    </w:r>
    <w:r>
      <w:rPr>
        <w:rStyle w:val="Seitenzahl"/>
        <w:rFonts w:cs="Helvetica"/>
      </w:rPr>
      <w:instrText xml:space="preserve"> -  " ""</w:instrText>
    </w:r>
    <w:r>
      <w:instrText xml:space="preserve"> </w:instrText>
    </w:r>
    <w:r w:rsidR="009D7BD5">
      <w:fldChar w:fldCharType="separate"/>
    </w:r>
    <w:r w:rsidR="009D7BD5">
      <w:rPr>
        <w:rStyle w:val="Seitenzahl"/>
        <w:rFonts w:cs="Helvetica"/>
        <w:noProof/>
      </w:rPr>
      <w:t xml:space="preserve"> - 2 -  </w:t>
    </w:r>
    <w:r>
      <w:fldChar w:fldCharType="end"/>
    </w:r>
  </w:p>
  <w:p w:rsidR="00CA69F0" w:rsidRDefault="00CA69F0">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57" w:rsidRDefault="00200A57">
      <w:pPr>
        <w:pStyle w:val="Fuzeile"/>
      </w:pPr>
      <w:r>
        <w:separator/>
      </w:r>
    </w:p>
  </w:footnote>
  <w:footnote w:type="continuationSeparator" w:id="0">
    <w:p w:rsidR="00200A57" w:rsidRDefault="00200A57">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F0" w:rsidRDefault="00CA69F0">
    <w:pPr>
      <w:pStyle w:val="Kopfzeile"/>
      <w:jc w:val="center"/>
    </w:pPr>
    <w:r>
      <w:t xml:space="preserve">- </w:t>
    </w:r>
    <w:r>
      <w:rPr>
        <w:rStyle w:val="Seitenzahl"/>
        <w:rFonts w:cs="Helvetica"/>
      </w:rPr>
      <w:fldChar w:fldCharType="begin"/>
    </w:r>
    <w:r>
      <w:rPr>
        <w:rStyle w:val="Seitenzahl"/>
        <w:rFonts w:cs="Helvetica"/>
      </w:rPr>
      <w:instrText xml:space="preserve"> PAGE </w:instrText>
    </w:r>
    <w:r>
      <w:rPr>
        <w:rStyle w:val="Seitenzahl"/>
        <w:rFonts w:cs="Helvetica"/>
      </w:rPr>
      <w:fldChar w:fldCharType="separate"/>
    </w:r>
    <w:r w:rsidR="009D7BD5">
      <w:rPr>
        <w:rStyle w:val="Seitenzahl"/>
        <w:rFonts w:cs="Helvetica"/>
        <w:noProof/>
      </w:rPr>
      <w:t>5</w:t>
    </w:r>
    <w:r>
      <w:rPr>
        <w:rStyle w:val="Seitenzahl"/>
        <w:rFonts w:cs="Helvetica"/>
      </w:rPr>
      <w:fldChar w:fldCharType="end"/>
    </w:r>
    <w:r>
      <w:rPr>
        <w:rStyle w:val="Seitenzahl"/>
        <w:rFonts w:cs="Helveti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C\'5c'5c'5c'5c'5c'5c'5c'5c'5c'5c'5c'5c\'5c'5c'5c'5c'5c'5c'5c'5c'5c'5c'5c\'5c'5c'5c'5c'5c'5c'5c'5c'5c'5c\'5c'5c'5c'5c'5c'5c'5c'5c'5c\'5c'5c'5c'5c'5c'5c'5c'5c\'5c'5c'5c'5c'5c'5c'5c\'5c'5c'5c'5c'5c'5c\'5c'5c'5c'5c'5c\'5c'5c'5c'5c\'5c'5c'5c\'5c'5c\'5c\:\'5c'5c'5c'5c'5c'5c'5c'5c'5c'5c'5c'5c'5cCOBRA\'5c'5c'5c'5c'5c'5c'5c'5c'5c'5c'5c'5c'5cDEMO\'5c'5c'5c'5c'5c'5c'5c'5c'5c'5c'5c'5c'5cPLUS32\'5c'5c'5c'5c'5c'5c'5c'5c'5c'5c'5c'5c'5cSystem\'5c'5c'5c'5c'5c'5c'5c'5c'5c'5c'5c'5c'5cAp_symb.doc"/>
    <w:docVar w:name="cbDoc" w:val=" 1"/>
    <w:docVar w:name="cbGoto" w:val=" 2"/>
    <w:docVar w:name="cbIns" w:val=" 2"/>
    <w:docVar w:name="dlbSymBar" w:val="Adress PLUS"/>
    <w:docVar w:name="tbSymPos" w:val=" 2"/>
  </w:docVars>
  <w:rsids>
    <w:rsidRoot w:val="00A1376C"/>
    <w:rsid w:val="0001144E"/>
    <w:rsid w:val="00022542"/>
    <w:rsid w:val="00030F56"/>
    <w:rsid w:val="000472F4"/>
    <w:rsid w:val="000657FE"/>
    <w:rsid w:val="000A0825"/>
    <w:rsid w:val="000E0F90"/>
    <w:rsid w:val="00103567"/>
    <w:rsid w:val="0010461B"/>
    <w:rsid w:val="0013004C"/>
    <w:rsid w:val="0013609F"/>
    <w:rsid w:val="001B3089"/>
    <w:rsid w:val="001E6686"/>
    <w:rsid w:val="00200A57"/>
    <w:rsid w:val="00234876"/>
    <w:rsid w:val="0024195C"/>
    <w:rsid w:val="00245F15"/>
    <w:rsid w:val="00255F6F"/>
    <w:rsid w:val="00267B79"/>
    <w:rsid w:val="002E43C6"/>
    <w:rsid w:val="002F334B"/>
    <w:rsid w:val="0031522D"/>
    <w:rsid w:val="003835B4"/>
    <w:rsid w:val="003D0AA6"/>
    <w:rsid w:val="003D2C40"/>
    <w:rsid w:val="0042440E"/>
    <w:rsid w:val="0045463C"/>
    <w:rsid w:val="00481E28"/>
    <w:rsid w:val="00491D47"/>
    <w:rsid w:val="004F5E7A"/>
    <w:rsid w:val="00530A1E"/>
    <w:rsid w:val="005A0F0A"/>
    <w:rsid w:val="005A445C"/>
    <w:rsid w:val="005A4A55"/>
    <w:rsid w:val="005D7AA8"/>
    <w:rsid w:val="00617907"/>
    <w:rsid w:val="00625494"/>
    <w:rsid w:val="00654B68"/>
    <w:rsid w:val="006D1467"/>
    <w:rsid w:val="00741870"/>
    <w:rsid w:val="00752FF6"/>
    <w:rsid w:val="007E78E6"/>
    <w:rsid w:val="0080137B"/>
    <w:rsid w:val="00811E55"/>
    <w:rsid w:val="008317A6"/>
    <w:rsid w:val="008668F9"/>
    <w:rsid w:val="0089254D"/>
    <w:rsid w:val="008C3B9D"/>
    <w:rsid w:val="008F0961"/>
    <w:rsid w:val="00943DF3"/>
    <w:rsid w:val="00945ABB"/>
    <w:rsid w:val="009D7BD5"/>
    <w:rsid w:val="009E2BC9"/>
    <w:rsid w:val="00A1376C"/>
    <w:rsid w:val="00A15816"/>
    <w:rsid w:val="00A542F9"/>
    <w:rsid w:val="00A64B0E"/>
    <w:rsid w:val="00A80EA6"/>
    <w:rsid w:val="00B659D2"/>
    <w:rsid w:val="00BB52DA"/>
    <w:rsid w:val="00C06B60"/>
    <w:rsid w:val="00C55BEF"/>
    <w:rsid w:val="00C70E7A"/>
    <w:rsid w:val="00CA3969"/>
    <w:rsid w:val="00CA66AF"/>
    <w:rsid w:val="00CA69F0"/>
    <w:rsid w:val="00CF605F"/>
    <w:rsid w:val="00D2350D"/>
    <w:rsid w:val="00D73847"/>
    <w:rsid w:val="00D9768D"/>
    <w:rsid w:val="00E11FD0"/>
    <w:rsid w:val="00E158C3"/>
    <w:rsid w:val="00E27CCD"/>
    <w:rsid w:val="00E57E73"/>
    <w:rsid w:val="00E64137"/>
    <w:rsid w:val="00E945D1"/>
    <w:rsid w:val="00EB4E85"/>
    <w:rsid w:val="00F1479C"/>
    <w:rsid w:val="00F63D77"/>
    <w:rsid w:val="00F86153"/>
    <w:rsid w:val="00FE1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Helvetica" w:hAnsi="Helvetica" w:cs="Times New Roman"/>
    </w:rPr>
  </w:style>
  <w:style w:type="paragraph" w:customStyle="1" w:styleId="Format1">
    <w:name w:val="Format1"/>
    <w:basedOn w:val="Standard"/>
    <w:uiPriority w:val="99"/>
    <w:pPr>
      <w:tabs>
        <w:tab w:val="left" w:pos="851"/>
        <w:tab w:val="left" w:pos="1418"/>
      </w:tabs>
      <w:spacing w:before="120"/>
      <w:jc w:val="both"/>
    </w:pPr>
  </w:style>
  <w:style w:type="paragraph" w:customStyle="1" w:styleId="Format3">
    <w:name w:val="Format3"/>
    <w:basedOn w:val="Standard"/>
    <w:uiPriority w:val="99"/>
    <w:pPr>
      <w:tabs>
        <w:tab w:val="left" w:pos="1701"/>
        <w:tab w:val="left" w:pos="2268"/>
      </w:tabs>
      <w:spacing w:before="120"/>
      <w:ind w:left="1134" w:right="1134"/>
      <w:jc w:val="both"/>
    </w:pPr>
  </w:style>
  <w:style w:type="paragraph" w:customStyle="1" w:styleId="Format2">
    <w:name w:val="Format2"/>
    <w:basedOn w:val="Format1"/>
    <w:uiPriority w:val="99"/>
    <w:pPr>
      <w:spacing w:before="240" w:line="360" w:lineRule="auto"/>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Helvetica" w:hAnsi="Helvetica" w:cs="Times New Roman"/>
    </w:rPr>
  </w:style>
  <w:style w:type="character" w:styleId="Seitenzahl">
    <w:name w:val="page number"/>
    <w:basedOn w:val="Absatz-Standardschriftart"/>
    <w:uiPriority w:val="99"/>
    <w:rPr>
      <w:rFonts w:cs="Times New Roman"/>
    </w:rPr>
  </w:style>
  <w:style w:type="paragraph" w:customStyle="1" w:styleId="Tenor1">
    <w:name w:val="Tenor1"/>
    <w:basedOn w:val="Tenor"/>
    <w:uiPriority w:val="99"/>
    <w:pPr>
      <w:spacing w:before="120"/>
      <w:ind w:left="1418" w:hanging="284"/>
    </w:pPr>
  </w:style>
  <w:style w:type="paragraph" w:customStyle="1" w:styleId="Spalte">
    <w:name w:val="Spalte"/>
    <w:basedOn w:val="Standard"/>
    <w:next w:val="Standard"/>
    <w:uiPriority w:val="99"/>
    <w:pPr>
      <w:spacing w:after="120"/>
      <w:jc w:val="both"/>
    </w:p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rPr>
  </w:style>
  <w:style w:type="paragraph" w:customStyle="1" w:styleId="Format21">
    <w:name w:val="Format2.1"/>
    <w:basedOn w:val="Standard"/>
    <w:uiPriority w:val="99"/>
    <w:pPr>
      <w:tabs>
        <w:tab w:val="left" w:pos="851"/>
        <w:tab w:val="left" w:pos="1418"/>
      </w:tabs>
      <w:spacing w:before="120" w:line="360" w:lineRule="auto"/>
      <w:ind w:firstLine="851"/>
      <w:jc w:val="both"/>
    </w:pPr>
  </w:style>
  <w:style w:type="paragraph" w:customStyle="1" w:styleId="Richter">
    <w:name w:val="Richter"/>
    <w:basedOn w:val="Standard"/>
    <w:uiPriority w:val="9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720" w:line="480" w:lineRule="auto"/>
      <w:jc w:val="center"/>
    </w:pPr>
  </w:style>
  <w:style w:type="paragraph" w:customStyle="1" w:styleId="Tenor">
    <w:name w:val="Tenor"/>
    <w:basedOn w:val="Standard"/>
    <w:uiPriority w:val="99"/>
    <w:pPr>
      <w:tabs>
        <w:tab w:val="left" w:pos="1985"/>
        <w:tab w:val="left" w:pos="2268"/>
      </w:tabs>
      <w:spacing w:before="240"/>
      <w:ind w:left="1134" w:right="1134"/>
      <w:jc w:val="both"/>
    </w:pPr>
  </w:style>
  <w:style w:type="paragraph" w:customStyle="1" w:styleId="A">
    <w:name w:val="A)"/>
    <w:basedOn w:val="Format2"/>
    <w:uiPriority w:val="99"/>
  </w:style>
  <w:style w:type="paragraph" w:customStyle="1" w:styleId="Rubrum">
    <w:name w:val="Rubrum"/>
    <w:basedOn w:val="Format2"/>
    <w:uiPriority w:val="99"/>
    <w:pPr>
      <w:jc w:val="left"/>
    </w:pPr>
  </w:style>
  <w:style w:type="paragraph" w:customStyle="1" w:styleId="Antrge">
    <w:name w:val="Anträge"/>
    <w:basedOn w:val="Standard"/>
    <w:uiPriority w:val="99"/>
    <w:pPr>
      <w:spacing w:before="120"/>
      <w:ind w:left="851" w:hanging="851"/>
    </w:pPr>
  </w:style>
  <w:style w:type="character" w:styleId="Kommentarzeichen">
    <w:name w:val="annotation reference"/>
    <w:basedOn w:val="Absatz-Standardschriftart"/>
    <w:uiPriority w:val="99"/>
    <w:rPr>
      <w:rFonts w:cs="Times New Roman"/>
      <w:sz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emiHidden/>
    <w:locked/>
    <w:rPr>
      <w:rFonts w:ascii="Helvetica" w:hAnsi="Helvetica" w:cs="Times New Roman"/>
      <w:sz w:val="20"/>
    </w:rPr>
  </w:style>
  <w:style w:type="paragraph" w:customStyle="1" w:styleId="Grnde">
    <w:name w:val="Gründe"/>
    <w:basedOn w:val="Format1"/>
    <w:next w:val="Format21"/>
    <w:uiPriority w:val="99"/>
    <w:pPr>
      <w:jc w:val="center"/>
    </w:pPr>
    <w:rPr>
      <w:b/>
      <w:bCs/>
      <w:sz w:val="28"/>
      <w:szCs w:val="28"/>
    </w:rPr>
  </w:style>
  <w:style w:type="paragraph" w:styleId="Zitat">
    <w:name w:val="Quote"/>
    <w:basedOn w:val="Format3"/>
    <w:link w:val="ZitatZchn"/>
    <w:uiPriority w:val="99"/>
    <w:qFormat/>
  </w:style>
  <w:style w:type="character" w:customStyle="1" w:styleId="ZitatZchn">
    <w:name w:val="Zitat Zchn"/>
    <w:basedOn w:val="Absatz-Standardschriftart"/>
    <w:link w:val="Zitat"/>
    <w:uiPriority w:val="29"/>
    <w:locked/>
    <w:rPr>
      <w:rFonts w:ascii="Helvetica" w:hAnsi="Helvetica" w:cs="Times New Roman"/>
      <w:i/>
      <w:color w:val="000000"/>
    </w:rPr>
  </w:style>
  <w:style w:type="paragraph" w:styleId="Dokumentstruktur">
    <w:name w:val="Document Map"/>
    <w:basedOn w:val="Standard"/>
    <w:link w:val="DokumentstrukturZchn"/>
    <w:uiPriority w:val="99"/>
    <w:semiHidden/>
    <w:rsid w:val="00D7384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Helvetica" w:hAnsi="Helvetica" w:cs="Times New Roman"/>
    </w:rPr>
  </w:style>
  <w:style w:type="paragraph" w:customStyle="1" w:styleId="Format1">
    <w:name w:val="Format1"/>
    <w:basedOn w:val="Standard"/>
    <w:uiPriority w:val="99"/>
    <w:pPr>
      <w:tabs>
        <w:tab w:val="left" w:pos="851"/>
        <w:tab w:val="left" w:pos="1418"/>
      </w:tabs>
      <w:spacing w:before="120"/>
      <w:jc w:val="both"/>
    </w:pPr>
  </w:style>
  <w:style w:type="paragraph" w:customStyle="1" w:styleId="Format3">
    <w:name w:val="Format3"/>
    <w:basedOn w:val="Standard"/>
    <w:uiPriority w:val="99"/>
    <w:pPr>
      <w:tabs>
        <w:tab w:val="left" w:pos="1701"/>
        <w:tab w:val="left" w:pos="2268"/>
      </w:tabs>
      <w:spacing w:before="120"/>
      <w:ind w:left="1134" w:right="1134"/>
      <w:jc w:val="both"/>
    </w:pPr>
  </w:style>
  <w:style w:type="paragraph" w:customStyle="1" w:styleId="Format2">
    <w:name w:val="Format2"/>
    <w:basedOn w:val="Format1"/>
    <w:uiPriority w:val="99"/>
    <w:pPr>
      <w:spacing w:before="240" w:line="360" w:lineRule="auto"/>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Helvetica" w:hAnsi="Helvetica" w:cs="Times New Roman"/>
    </w:rPr>
  </w:style>
  <w:style w:type="character" w:styleId="Seitenzahl">
    <w:name w:val="page number"/>
    <w:basedOn w:val="Absatz-Standardschriftart"/>
    <w:uiPriority w:val="99"/>
    <w:rPr>
      <w:rFonts w:cs="Times New Roman"/>
    </w:rPr>
  </w:style>
  <w:style w:type="paragraph" w:customStyle="1" w:styleId="Tenor1">
    <w:name w:val="Tenor1"/>
    <w:basedOn w:val="Tenor"/>
    <w:uiPriority w:val="99"/>
    <w:pPr>
      <w:spacing w:before="120"/>
      <w:ind w:left="1418" w:hanging="284"/>
    </w:pPr>
  </w:style>
  <w:style w:type="paragraph" w:customStyle="1" w:styleId="Spalte">
    <w:name w:val="Spalte"/>
    <w:basedOn w:val="Standard"/>
    <w:next w:val="Standard"/>
    <w:uiPriority w:val="99"/>
    <w:pPr>
      <w:spacing w:after="120"/>
      <w:jc w:val="both"/>
    </w:p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rPr>
  </w:style>
  <w:style w:type="paragraph" w:customStyle="1" w:styleId="Format21">
    <w:name w:val="Format2.1"/>
    <w:basedOn w:val="Standard"/>
    <w:uiPriority w:val="99"/>
    <w:pPr>
      <w:tabs>
        <w:tab w:val="left" w:pos="851"/>
        <w:tab w:val="left" w:pos="1418"/>
      </w:tabs>
      <w:spacing w:before="120" w:line="360" w:lineRule="auto"/>
      <w:ind w:firstLine="851"/>
      <w:jc w:val="both"/>
    </w:pPr>
  </w:style>
  <w:style w:type="paragraph" w:customStyle="1" w:styleId="Richter">
    <w:name w:val="Richter"/>
    <w:basedOn w:val="Standard"/>
    <w:uiPriority w:val="9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720" w:line="480" w:lineRule="auto"/>
      <w:jc w:val="center"/>
    </w:pPr>
  </w:style>
  <w:style w:type="paragraph" w:customStyle="1" w:styleId="Tenor">
    <w:name w:val="Tenor"/>
    <w:basedOn w:val="Standard"/>
    <w:uiPriority w:val="99"/>
    <w:pPr>
      <w:tabs>
        <w:tab w:val="left" w:pos="1985"/>
        <w:tab w:val="left" w:pos="2268"/>
      </w:tabs>
      <w:spacing w:before="240"/>
      <w:ind w:left="1134" w:right="1134"/>
      <w:jc w:val="both"/>
    </w:pPr>
  </w:style>
  <w:style w:type="paragraph" w:customStyle="1" w:styleId="A">
    <w:name w:val="A)"/>
    <w:basedOn w:val="Format2"/>
    <w:uiPriority w:val="99"/>
  </w:style>
  <w:style w:type="paragraph" w:customStyle="1" w:styleId="Rubrum">
    <w:name w:val="Rubrum"/>
    <w:basedOn w:val="Format2"/>
    <w:uiPriority w:val="99"/>
    <w:pPr>
      <w:jc w:val="left"/>
    </w:pPr>
  </w:style>
  <w:style w:type="paragraph" w:customStyle="1" w:styleId="Antrge">
    <w:name w:val="Anträge"/>
    <w:basedOn w:val="Standard"/>
    <w:uiPriority w:val="99"/>
    <w:pPr>
      <w:spacing w:before="120"/>
      <w:ind w:left="851" w:hanging="851"/>
    </w:pPr>
  </w:style>
  <w:style w:type="character" w:styleId="Kommentarzeichen">
    <w:name w:val="annotation reference"/>
    <w:basedOn w:val="Absatz-Standardschriftart"/>
    <w:uiPriority w:val="99"/>
    <w:rPr>
      <w:rFonts w:cs="Times New Roman"/>
      <w:sz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semiHidden/>
    <w:locked/>
    <w:rPr>
      <w:rFonts w:ascii="Helvetica" w:hAnsi="Helvetica" w:cs="Times New Roman"/>
      <w:sz w:val="20"/>
    </w:rPr>
  </w:style>
  <w:style w:type="paragraph" w:customStyle="1" w:styleId="Grnde">
    <w:name w:val="Gründe"/>
    <w:basedOn w:val="Format1"/>
    <w:next w:val="Format21"/>
    <w:uiPriority w:val="99"/>
    <w:pPr>
      <w:jc w:val="center"/>
    </w:pPr>
    <w:rPr>
      <w:b/>
      <w:bCs/>
      <w:sz w:val="28"/>
      <w:szCs w:val="28"/>
    </w:rPr>
  </w:style>
  <w:style w:type="paragraph" w:styleId="Zitat">
    <w:name w:val="Quote"/>
    <w:basedOn w:val="Format3"/>
    <w:link w:val="ZitatZchn"/>
    <w:uiPriority w:val="99"/>
    <w:qFormat/>
  </w:style>
  <w:style w:type="character" w:customStyle="1" w:styleId="ZitatZchn">
    <w:name w:val="Zitat Zchn"/>
    <w:basedOn w:val="Absatz-Standardschriftart"/>
    <w:link w:val="Zitat"/>
    <w:uiPriority w:val="29"/>
    <w:locked/>
    <w:rPr>
      <w:rFonts w:ascii="Helvetica" w:hAnsi="Helvetica" w:cs="Times New Roman"/>
      <w:i/>
      <w:color w:val="000000"/>
    </w:rPr>
  </w:style>
  <w:style w:type="paragraph" w:styleId="Dokumentstruktur">
    <w:name w:val="Document Map"/>
    <w:basedOn w:val="Standard"/>
    <w:link w:val="DokumentstrukturZchn"/>
    <w:uiPriority w:val="99"/>
    <w:semiHidden/>
    <w:rsid w:val="00D7384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E4FC-B0C6-46DB-A6FD-02B4015F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Votumsvorlage für AZR-Verfahren</vt:lpstr>
    </vt:vector>
  </TitlesOfParts>
  <Company>Präsident des Bundesarbeitsgerichts</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Votumsvorlage für AZR-Verfahren</dc:title>
  <dc:creator>Die Präsidentin</dc:creator>
  <cp:lastModifiedBy>Matthieß, Petra</cp:lastModifiedBy>
  <cp:revision>5</cp:revision>
  <cp:lastPrinted>2017-02-09T12:36:00Z</cp:lastPrinted>
  <dcterms:created xsi:type="dcterms:W3CDTF">2017-02-07T12:15:00Z</dcterms:created>
  <dcterms:modified xsi:type="dcterms:W3CDTF">2017-02-09T12:56:00Z</dcterms:modified>
</cp:coreProperties>
</file>